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BFB68" w14:textId="77777777" w:rsidR="000F37EB" w:rsidRPr="000F37EB" w:rsidRDefault="00AC261A" w:rsidP="00855E99">
      <w:pPr>
        <w:rPr>
          <w:rFonts w:ascii="Arial" w:hAnsi="Arial" w:cs="Arial"/>
          <w:b/>
          <w:color w:val="000000"/>
          <w:sz w:val="16"/>
          <w:szCs w:val="16"/>
          <w:lang w:val="en-GB" w:eastAsia="el-GR"/>
        </w:rPr>
      </w:pPr>
      <w:bookmarkStart w:id="0" w:name="_Hlk54628010"/>
      <w:r>
        <w:rPr>
          <w:noProof/>
        </w:rPr>
        <w:drawing>
          <wp:inline distT="0" distB="0" distL="0" distR="0" wp14:anchorId="229BFB8E" wp14:editId="229BFB8F">
            <wp:extent cx="914400" cy="866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866775"/>
                    </a:xfrm>
                    <a:prstGeom prst="rect">
                      <a:avLst/>
                    </a:prstGeom>
                    <a:noFill/>
                    <a:ln>
                      <a:noFill/>
                    </a:ln>
                  </pic:spPr>
                </pic:pic>
              </a:graphicData>
            </a:graphic>
          </wp:inline>
        </w:drawing>
      </w:r>
      <w:bookmarkEnd w:id="0"/>
    </w:p>
    <w:p w14:paraId="229BFB69" w14:textId="0BFE00BE" w:rsidR="00443ECB" w:rsidRPr="00CB22D4" w:rsidRDefault="00243DBF" w:rsidP="00443ECB">
      <w:pPr>
        <w:jc w:val="center"/>
        <w:rPr>
          <w:rFonts w:ascii="Tahoma" w:eastAsia="Calibri" w:hAnsi="Tahoma" w:cs="Tahoma"/>
          <w:b/>
          <w:bCs/>
          <w:i/>
          <w:iCs/>
          <w:sz w:val="28"/>
          <w:szCs w:val="28"/>
          <w:u w:val="single"/>
        </w:rPr>
      </w:pPr>
      <w:r>
        <w:rPr>
          <w:rFonts w:ascii="Tahoma" w:eastAsia="Calibri" w:hAnsi="Tahoma" w:cs="Tahoma"/>
          <w:b/>
          <w:bCs/>
          <w:i/>
          <w:iCs/>
          <w:sz w:val="28"/>
          <w:szCs w:val="28"/>
          <w:u w:val="single"/>
        </w:rPr>
        <w:t>SUSTAINABLE DEVELOPMENT POLICY</w:t>
      </w:r>
    </w:p>
    <w:p w14:paraId="229BFB6A" w14:textId="77777777" w:rsidR="00443ECB" w:rsidRPr="00E34C6D" w:rsidRDefault="00443ECB" w:rsidP="00443ECB">
      <w:pPr>
        <w:jc w:val="center"/>
        <w:rPr>
          <w:rFonts w:ascii="Tahoma" w:hAnsi="Tahoma" w:cs="Tahoma"/>
          <w:b/>
          <w:color w:val="000000"/>
          <w:sz w:val="22"/>
          <w:szCs w:val="22"/>
          <w:lang w:val="en-GB" w:eastAsia="el-GR"/>
        </w:rPr>
      </w:pPr>
    </w:p>
    <w:p w14:paraId="6D9B9C4B" w14:textId="7C5DDD9C" w:rsidR="00243DBF" w:rsidRPr="00243DBF" w:rsidRDefault="00243DBF" w:rsidP="00243DBF">
      <w:pPr>
        <w:pStyle w:val="aa"/>
        <w:numPr>
          <w:ilvl w:val="0"/>
          <w:numId w:val="11"/>
        </w:numPr>
        <w:spacing w:after="0" w:line="360" w:lineRule="auto"/>
        <w:rPr>
          <w:rFonts w:ascii="Tahoma" w:eastAsia="Times New Roman" w:hAnsi="Tahoma" w:cs="Tahoma"/>
          <w:b/>
          <w:bCs/>
          <w:color w:val="000000"/>
          <w:sz w:val="20"/>
          <w:szCs w:val="20"/>
          <w:lang w:val="en-GB" w:eastAsia="el-GR"/>
        </w:rPr>
      </w:pPr>
      <w:bookmarkStart w:id="1" w:name="_Hlk54628070"/>
      <w:r w:rsidRPr="00243DBF">
        <w:rPr>
          <w:rFonts w:ascii="Tahoma" w:eastAsia="Times New Roman" w:hAnsi="Tahoma" w:cs="Tahoma"/>
          <w:b/>
          <w:bCs/>
          <w:color w:val="000000"/>
          <w:sz w:val="20"/>
          <w:szCs w:val="20"/>
          <w:lang w:val="en-GB" w:eastAsia="el-GR"/>
        </w:rPr>
        <w:t>Purpose</w:t>
      </w:r>
    </w:p>
    <w:p w14:paraId="7AD5E53A" w14:textId="35BE4C5B" w:rsidR="00243DBF" w:rsidRPr="00243DBF" w:rsidRDefault="00243DBF" w:rsidP="00243DBF">
      <w:pPr>
        <w:spacing w:line="276" w:lineRule="auto"/>
        <w:jc w:val="both"/>
        <w:rPr>
          <w:rFonts w:ascii="Tahoma" w:hAnsi="Tahoma" w:cs="Tahoma"/>
          <w:color w:val="000000"/>
          <w:lang w:val="en-GB" w:eastAsia="el-GR"/>
        </w:rPr>
      </w:pPr>
      <w:r w:rsidRPr="00243DBF">
        <w:rPr>
          <w:rFonts w:ascii="Tahoma" w:hAnsi="Tahoma" w:cs="Tahoma"/>
          <w:color w:val="000000"/>
          <w:lang w:val="en-GB" w:eastAsia="el-GR"/>
        </w:rPr>
        <w:t xml:space="preserve">Sustainable Development is directly linked with LAMDA Development’s vision, business strategy and corporate values. The current policy summarizes LAMDA Development's commitment to the responsible management of the economic, </w:t>
      </w:r>
      <w:proofErr w:type="gramStart"/>
      <w:r w:rsidRPr="00243DBF">
        <w:rPr>
          <w:rFonts w:ascii="Tahoma" w:hAnsi="Tahoma" w:cs="Tahoma"/>
          <w:color w:val="000000"/>
          <w:lang w:val="en-GB" w:eastAsia="el-GR"/>
        </w:rPr>
        <w:t>social</w:t>
      </w:r>
      <w:proofErr w:type="gramEnd"/>
      <w:r w:rsidRPr="00243DBF">
        <w:rPr>
          <w:rFonts w:ascii="Tahoma" w:hAnsi="Tahoma" w:cs="Tahoma"/>
          <w:color w:val="000000"/>
          <w:lang w:val="en-GB" w:eastAsia="el-GR"/>
        </w:rPr>
        <w:t xml:space="preserve"> and environmental impacts of all its activities towards its stakeholders, as well as the respective wider impacts towards the economy, society and natural environment. The company aims, on the one hand, at the reduction of any negative impacts and on the other hand, at the increase of positive impacts, within the framework of the United Nations Sustainable Development Goals</w:t>
      </w:r>
      <w:r>
        <w:rPr>
          <w:rFonts w:ascii="Tahoma" w:hAnsi="Tahoma" w:cs="Tahoma"/>
          <w:color w:val="000000"/>
          <w:lang w:val="en-GB" w:eastAsia="el-GR"/>
        </w:rPr>
        <w:t>.</w:t>
      </w:r>
    </w:p>
    <w:p w14:paraId="6317D3F7" w14:textId="77777777" w:rsidR="00243DBF" w:rsidRDefault="00243DBF" w:rsidP="00243DBF">
      <w:pPr>
        <w:jc w:val="both"/>
        <w:rPr>
          <w:rFonts w:ascii="Arial" w:hAnsi="Arial" w:cs="Arial"/>
        </w:rPr>
      </w:pPr>
    </w:p>
    <w:p w14:paraId="6C4A79D7" w14:textId="741FA57F" w:rsidR="00243DBF" w:rsidRPr="00243DBF" w:rsidRDefault="00243DBF" w:rsidP="00243DBF">
      <w:pPr>
        <w:pStyle w:val="aa"/>
        <w:numPr>
          <w:ilvl w:val="0"/>
          <w:numId w:val="11"/>
        </w:numPr>
        <w:spacing w:after="60" w:line="276" w:lineRule="auto"/>
        <w:jc w:val="both"/>
        <w:rPr>
          <w:rFonts w:ascii="Tahoma" w:eastAsia="Times New Roman" w:hAnsi="Tahoma" w:cs="Tahoma"/>
          <w:b/>
          <w:bCs/>
          <w:color w:val="000000"/>
          <w:sz w:val="20"/>
          <w:szCs w:val="20"/>
          <w:lang w:val="en-GB" w:eastAsia="el-GR"/>
        </w:rPr>
      </w:pPr>
      <w:r w:rsidRPr="00243DBF">
        <w:rPr>
          <w:rFonts w:ascii="Tahoma" w:eastAsia="Times New Roman" w:hAnsi="Tahoma" w:cs="Tahoma"/>
          <w:b/>
          <w:bCs/>
          <w:color w:val="000000"/>
          <w:sz w:val="20"/>
          <w:szCs w:val="20"/>
          <w:lang w:val="en-GB" w:eastAsia="el-GR"/>
        </w:rPr>
        <w:t xml:space="preserve">Scope and implementation duration </w:t>
      </w:r>
    </w:p>
    <w:p w14:paraId="37BA01FC" w14:textId="56F99A7C" w:rsidR="00243DBF" w:rsidRPr="00243DBF" w:rsidRDefault="00243DBF" w:rsidP="00243DBF">
      <w:pPr>
        <w:spacing w:line="276" w:lineRule="auto"/>
        <w:jc w:val="both"/>
        <w:rPr>
          <w:rFonts w:ascii="Tahoma" w:hAnsi="Tahoma" w:cs="Tahoma"/>
          <w:color w:val="000000"/>
          <w:lang w:val="en-GB" w:eastAsia="el-GR"/>
        </w:rPr>
      </w:pPr>
      <w:r w:rsidRPr="00243DBF">
        <w:rPr>
          <w:rFonts w:ascii="Tahoma" w:hAnsi="Tahoma" w:cs="Tahoma"/>
          <w:color w:val="000000"/>
          <w:lang w:val="en-GB" w:eastAsia="el-GR"/>
        </w:rPr>
        <w:t xml:space="preserve">The current Policy covers all company activities and is related to all relevant company procedures, standards, voluntary and regulatory commitments, within the framework of both risk management and utilization of opportunities to contribute to Sustainable Development. The policy review and revision (if and to the extent required) is planned to take place every two years, </w:t>
      </w:r>
      <w:proofErr w:type="gramStart"/>
      <w:r w:rsidRPr="00243DBF">
        <w:rPr>
          <w:rFonts w:ascii="Tahoma" w:hAnsi="Tahoma" w:cs="Tahoma"/>
          <w:color w:val="000000"/>
          <w:lang w:val="en-GB" w:eastAsia="el-GR"/>
        </w:rPr>
        <w:t>in order to</w:t>
      </w:r>
      <w:proofErr w:type="gramEnd"/>
      <w:r w:rsidRPr="00243DBF">
        <w:rPr>
          <w:rFonts w:ascii="Tahoma" w:hAnsi="Tahoma" w:cs="Tahoma"/>
          <w:color w:val="000000"/>
          <w:lang w:val="en-GB" w:eastAsia="el-GR"/>
        </w:rPr>
        <w:t xml:space="preserve"> take into account, the current socio-economic conditions and environmental challenges, as part of the company’s Sustainable Development materiality analysis process.</w:t>
      </w:r>
    </w:p>
    <w:p w14:paraId="40A869BA" w14:textId="17ECE6E1" w:rsidR="00243DBF" w:rsidRDefault="00243DBF" w:rsidP="00243DBF">
      <w:pPr>
        <w:spacing w:line="276" w:lineRule="auto"/>
        <w:jc w:val="both"/>
        <w:rPr>
          <w:rFonts w:ascii="Arial" w:hAnsi="Arial" w:cs="Arial"/>
        </w:rPr>
      </w:pPr>
    </w:p>
    <w:p w14:paraId="40C96B31" w14:textId="1545B9BD" w:rsidR="00243DBF" w:rsidRPr="00243DBF" w:rsidRDefault="00243DBF" w:rsidP="00243DBF">
      <w:pPr>
        <w:pStyle w:val="aa"/>
        <w:numPr>
          <w:ilvl w:val="0"/>
          <w:numId w:val="11"/>
        </w:numPr>
        <w:spacing w:after="60" w:line="276" w:lineRule="auto"/>
        <w:jc w:val="both"/>
        <w:rPr>
          <w:rFonts w:ascii="Tahoma" w:hAnsi="Tahoma" w:cs="Tahoma"/>
          <w:b/>
          <w:bCs/>
          <w:color w:val="000000"/>
          <w:sz w:val="20"/>
          <w:szCs w:val="20"/>
          <w:lang w:val="en-GB" w:eastAsia="el-GR"/>
        </w:rPr>
      </w:pPr>
      <w:r w:rsidRPr="00243DBF">
        <w:rPr>
          <w:rFonts w:ascii="Tahoma" w:eastAsia="Times New Roman" w:hAnsi="Tahoma" w:cs="Tahoma"/>
          <w:b/>
          <w:bCs/>
          <w:color w:val="000000"/>
          <w:sz w:val="20"/>
          <w:szCs w:val="20"/>
          <w:lang w:val="en-GB" w:eastAsia="el-GR"/>
        </w:rPr>
        <w:t>Principles</w:t>
      </w:r>
      <w:r w:rsidRPr="00243DBF">
        <w:rPr>
          <w:rFonts w:ascii="Tahoma" w:hAnsi="Tahoma" w:cs="Tahoma"/>
          <w:b/>
          <w:bCs/>
          <w:color w:val="000000"/>
          <w:sz w:val="20"/>
          <w:szCs w:val="20"/>
          <w:lang w:val="en-GB" w:eastAsia="el-GR"/>
        </w:rPr>
        <w:t xml:space="preserve"> and Standards</w:t>
      </w:r>
    </w:p>
    <w:p w14:paraId="0A22063A" w14:textId="77777777" w:rsidR="00243DBF" w:rsidRPr="00243DBF" w:rsidRDefault="00243DBF" w:rsidP="00243DBF">
      <w:pPr>
        <w:spacing w:after="60" w:line="276" w:lineRule="auto"/>
        <w:jc w:val="both"/>
        <w:rPr>
          <w:rFonts w:ascii="Tahoma" w:hAnsi="Tahoma" w:cs="Tahoma"/>
          <w:color w:val="000000"/>
          <w:lang w:val="en-GB" w:eastAsia="el-GR"/>
        </w:rPr>
      </w:pPr>
      <w:r w:rsidRPr="00243DBF">
        <w:rPr>
          <w:rFonts w:ascii="Tahoma" w:hAnsi="Tahoma" w:cs="Tahoma"/>
          <w:color w:val="000000"/>
          <w:lang w:val="en-GB" w:eastAsia="el-GR"/>
        </w:rPr>
        <w:t xml:space="preserve">The company’s Sustainable Development policy is based on: </w:t>
      </w:r>
    </w:p>
    <w:p w14:paraId="5655A73A" w14:textId="1D97065A" w:rsidR="00243DBF" w:rsidRPr="00243DBF" w:rsidRDefault="00243DBF" w:rsidP="00A17EB9">
      <w:pPr>
        <w:pStyle w:val="aa"/>
        <w:numPr>
          <w:ilvl w:val="0"/>
          <w:numId w:val="12"/>
        </w:numPr>
        <w:spacing w:after="60" w:line="276" w:lineRule="auto"/>
        <w:ind w:left="284" w:hanging="284"/>
        <w:jc w:val="both"/>
        <w:rPr>
          <w:rFonts w:ascii="Tahoma" w:eastAsia="Times New Roman" w:hAnsi="Tahoma" w:cs="Tahoma"/>
          <w:color w:val="000000"/>
          <w:sz w:val="20"/>
          <w:szCs w:val="20"/>
          <w:lang w:val="en-GB" w:eastAsia="el-GR"/>
        </w:rPr>
      </w:pPr>
      <w:r w:rsidRPr="00243DBF">
        <w:rPr>
          <w:rFonts w:ascii="Tahoma" w:eastAsia="Times New Roman" w:hAnsi="Tahoma" w:cs="Tahoma"/>
          <w:color w:val="000000"/>
          <w:sz w:val="20"/>
          <w:szCs w:val="20"/>
          <w:lang w:val="en-GB" w:eastAsia="el-GR"/>
        </w:rPr>
        <w:t>The compliance with the current legislation in relation to Sustainable Development topics.</w:t>
      </w:r>
    </w:p>
    <w:p w14:paraId="2EFD32D7" w14:textId="10AC36A0" w:rsidR="00243DBF" w:rsidRPr="00243DBF" w:rsidRDefault="00243DBF" w:rsidP="00A17EB9">
      <w:pPr>
        <w:pStyle w:val="aa"/>
        <w:numPr>
          <w:ilvl w:val="0"/>
          <w:numId w:val="12"/>
        </w:numPr>
        <w:spacing w:after="60" w:line="276" w:lineRule="auto"/>
        <w:ind w:left="284" w:hanging="284"/>
        <w:jc w:val="both"/>
        <w:rPr>
          <w:rFonts w:ascii="Tahoma" w:eastAsia="Times New Roman" w:hAnsi="Tahoma" w:cs="Tahoma"/>
          <w:color w:val="000000"/>
          <w:sz w:val="20"/>
          <w:szCs w:val="20"/>
          <w:lang w:val="en-GB" w:eastAsia="el-GR"/>
        </w:rPr>
      </w:pPr>
      <w:r w:rsidRPr="00243DBF">
        <w:rPr>
          <w:rFonts w:ascii="Tahoma" w:eastAsia="Times New Roman" w:hAnsi="Tahoma" w:cs="Tahoma"/>
          <w:color w:val="000000"/>
          <w:sz w:val="20"/>
          <w:szCs w:val="20"/>
          <w:lang w:val="en-GB" w:eastAsia="el-GR"/>
        </w:rPr>
        <w:t>The company’s Corporate Governance Code.</w:t>
      </w:r>
    </w:p>
    <w:p w14:paraId="4294229E" w14:textId="71C29BE0" w:rsidR="00243DBF" w:rsidRPr="00243DBF" w:rsidRDefault="00243DBF" w:rsidP="00A17EB9">
      <w:pPr>
        <w:pStyle w:val="aa"/>
        <w:numPr>
          <w:ilvl w:val="0"/>
          <w:numId w:val="12"/>
        </w:numPr>
        <w:spacing w:after="60" w:line="276" w:lineRule="auto"/>
        <w:ind w:left="284" w:hanging="284"/>
        <w:jc w:val="both"/>
        <w:rPr>
          <w:rFonts w:ascii="Tahoma" w:eastAsia="Times New Roman" w:hAnsi="Tahoma" w:cs="Tahoma"/>
          <w:color w:val="000000"/>
          <w:sz w:val="20"/>
          <w:szCs w:val="20"/>
          <w:lang w:val="en-GB" w:eastAsia="el-GR"/>
        </w:rPr>
      </w:pPr>
      <w:r w:rsidRPr="00243DBF">
        <w:rPr>
          <w:rFonts w:ascii="Tahoma" w:eastAsia="Times New Roman" w:hAnsi="Tahoma" w:cs="Tahoma"/>
          <w:color w:val="000000"/>
          <w:sz w:val="20"/>
          <w:szCs w:val="20"/>
          <w:lang w:val="en-GB" w:eastAsia="el-GR"/>
        </w:rPr>
        <w:t>The company’s Code of Conduct.</w:t>
      </w:r>
    </w:p>
    <w:p w14:paraId="4800F04C" w14:textId="08ABB57C" w:rsidR="00243DBF" w:rsidRPr="00243DBF" w:rsidRDefault="00243DBF" w:rsidP="00A17EB9">
      <w:pPr>
        <w:pStyle w:val="aa"/>
        <w:numPr>
          <w:ilvl w:val="0"/>
          <w:numId w:val="12"/>
        </w:numPr>
        <w:spacing w:after="60" w:line="276" w:lineRule="auto"/>
        <w:ind w:left="284" w:hanging="284"/>
        <w:jc w:val="both"/>
        <w:rPr>
          <w:rFonts w:ascii="Tahoma" w:eastAsia="Times New Roman" w:hAnsi="Tahoma" w:cs="Tahoma"/>
          <w:color w:val="000000"/>
          <w:sz w:val="20"/>
          <w:szCs w:val="20"/>
          <w:lang w:val="en-GB" w:eastAsia="el-GR"/>
        </w:rPr>
      </w:pPr>
      <w:r w:rsidRPr="00243DBF">
        <w:rPr>
          <w:rFonts w:ascii="Tahoma" w:eastAsia="Times New Roman" w:hAnsi="Tahoma" w:cs="Tahoma"/>
          <w:color w:val="000000"/>
          <w:sz w:val="20"/>
          <w:szCs w:val="20"/>
          <w:lang w:val="en-GB" w:eastAsia="el-GR"/>
        </w:rPr>
        <w:t>The other Policies applied by the company related to environmental topics, as well socio-economic impacts’ management topics (</w:t>
      </w:r>
      <w:proofErr w:type="gramStart"/>
      <w:r w:rsidRPr="00243DBF">
        <w:rPr>
          <w:rFonts w:ascii="Tahoma" w:eastAsia="Times New Roman" w:hAnsi="Tahoma" w:cs="Tahoma"/>
          <w:color w:val="000000"/>
          <w:sz w:val="20"/>
          <w:szCs w:val="20"/>
          <w:lang w:val="en-GB" w:eastAsia="el-GR"/>
        </w:rPr>
        <w:t>e.g.</w:t>
      </w:r>
      <w:proofErr w:type="gramEnd"/>
      <w:r w:rsidRPr="00243DBF">
        <w:rPr>
          <w:rFonts w:ascii="Tahoma" w:eastAsia="Times New Roman" w:hAnsi="Tahoma" w:cs="Tahoma"/>
          <w:color w:val="000000"/>
          <w:sz w:val="20"/>
          <w:szCs w:val="20"/>
          <w:lang w:val="en-GB" w:eastAsia="el-GR"/>
        </w:rPr>
        <w:t xml:space="preserve"> health and safety).</w:t>
      </w:r>
    </w:p>
    <w:p w14:paraId="670F78D6" w14:textId="36FF5E1B" w:rsidR="00243DBF" w:rsidRPr="00243DBF" w:rsidRDefault="00243DBF" w:rsidP="00A17EB9">
      <w:pPr>
        <w:pStyle w:val="aa"/>
        <w:numPr>
          <w:ilvl w:val="0"/>
          <w:numId w:val="12"/>
        </w:numPr>
        <w:spacing w:after="60" w:line="276" w:lineRule="auto"/>
        <w:ind w:left="284" w:hanging="284"/>
        <w:jc w:val="both"/>
        <w:rPr>
          <w:rFonts w:ascii="Tahoma" w:eastAsia="Times New Roman" w:hAnsi="Tahoma" w:cs="Tahoma"/>
          <w:color w:val="000000"/>
          <w:sz w:val="20"/>
          <w:szCs w:val="20"/>
          <w:lang w:val="en-GB" w:eastAsia="el-GR"/>
        </w:rPr>
      </w:pPr>
      <w:r w:rsidRPr="00243DBF">
        <w:rPr>
          <w:rFonts w:ascii="Tahoma" w:eastAsia="Times New Roman" w:hAnsi="Tahoma" w:cs="Tahoma"/>
          <w:color w:val="000000"/>
          <w:sz w:val="20"/>
          <w:szCs w:val="20"/>
          <w:lang w:val="en-GB" w:eastAsia="el-GR"/>
        </w:rPr>
        <w:t xml:space="preserve">The Principle of Materiality, as defined by the GRI Standards, through which the company is committed to prioritize at least every two years the most material economic, </w:t>
      </w:r>
      <w:proofErr w:type="gramStart"/>
      <w:r w:rsidRPr="00243DBF">
        <w:rPr>
          <w:rFonts w:ascii="Tahoma" w:eastAsia="Times New Roman" w:hAnsi="Tahoma" w:cs="Tahoma"/>
          <w:color w:val="000000"/>
          <w:sz w:val="20"/>
          <w:szCs w:val="20"/>
          <w:lang w:val="en-GB" w:eastAsia="el-GR"/>
        </w:rPr>
        <w:t>social</w:t>
      </w:r>
      <w:proofErr w:type="gramEnd"/>
      <w:r w:rsidRPr="00243DBF">
        <w:rPr>
          <w:rFonts w:ascii="Tahoma" w:eastAsia="Times New Roman" w:hAnsi="Tahoma" w:cs="Tahoma"/>
          <w:color w:val="000000"/>
          <w:sz w:val="20"/>
          <w:szCs w:val="20"/>
          <w:lang w:val="en-GB" w:eastAsia="el-GR"/>
        </w:rPr>
        <w:t xml:space="preserve"> and environmental impacts it creates.</w:t>
      </w:r>
    </w:p>
    <w:p w14:paraId="579B92CA" w14:textId="48ACADD1" w:rsidR="00243DBF" w:rsidRPr="00243DBF" w:rsidRDefault="00243DBF" w:rsidP="00A17EB9">
      <w:pPr>
        <w:pStyle w:val="aa"/>
        <w:numPr>
          <w:ilvl w:val="0"/>
          <w:numId w:val="12"/>
        </w:numPr>
        <w:spacing w:after="60" w:line="276" w:lineRule="auto"/>
        <w:ind w:left="284" w:hanging="284"/>
        <w:jc w:val="both"/>
        <w:rPr>
          <w:rFonts w:ascii="Tahoma" w:eastAsia="Times New Roman" w:hAnsi="Tahoma" w:cs="Tahoma"/>
          <w:color w:val="000000"/>
          <w:sz w:val="20"/>
          <w:szCs w:val="20"/>
          <w:lang w:val="en-GB" w:eastAsia="el-GR"/>
        </w:rPr>
      </w:pPr>
      <w:r w:rsidRPr="00243DBF">
        <w:rPr>
          <w:rFonts w:ascii="Tahoma" w:eastAsia="Times New Roman" w:hAnsi="Tahoma" w:cs="Tahoma"/>
          <w:color w:val="000000"/>
          <w:sz w:val="20"/>
          <w:szCs w:val="20"/>
          <w:lang w:val="en-GB" w:eastAsia="el-GR"/>
        </w:rPr>
        <w:t>The Stakeholder Inclusiveness Principle, as defined by the GRI Standards, through which the company is committed to recognize the economic, social, and environmental impacts it creates for its stakeholders and to manage their relevant needs and expectations.</w:t>
      </w:r>
    </w:p>
    <w:p w14:paraId="76620533" w14:textId="2694287F" w:rsidR="00243DBF" w:rsidRPr="00243DBF" w:rsidRDefault="00243DBF" w:rsidP="00A17EB9">
      <w:pPr>
        <w:pStyle w:val="aa"/>
        <w:numPr>
          <w:ilvl w:val="0"/>
          <w:numId w:val="12"/>
        </w:numPr>
        <w:spacing w:after="60" w:line="276" w:lineRule="auto"/>
        <w:ind w:left="284" w:hanging="284"/>
        <w:jc w:val="both"/>
        <w:rPr>
          <w:rFonts w:ascii="Tahoma" w:eastAsia="Times New Roman" w:hAnsi="Tahoma" w:cs="Tahoma"/>
          <w:color w:val="000000"/>
          <w:sz w:val="20"/>
          <w:szCs w:val="20"/>
          <w:lang w:val="en-GB" w:eastAsia="el-GR"/>
        </w:rPr>
      </w:pPr>
      <w:r w:rsidRPr="00243DBF">
        <w:rPr>
          <w:rFonts w:ascii="Tahoma" w:eastAsia="Times New Roman" w:hAnsi="Tahoma" w:cs="Tahoma"/>
          <w:color w:val="000000"/>
          <w:sz w:val="20"/>
          <w:szCs w:val="20"/>
          <w:lang w:val="en-GB" w:eastAsia="el-GR"/>
        </w:rPr>
        <w:t>The United Nations Agenda 2030 for Sustainable Development (17 Sustainable Development Goals).</w:t>
      </w:r>
    </w:p>
    <w:p w14:paraId="4F97DC09" w14:textId="77777777" w:rsidR="00243DBF" w:rsidRDefault="00243DBF" w:rsidP="00243DBF">
      <w:pPr>
        <w:jc w:val="both"/>
        <w:rPr>
          <w:rFonts w:ascii="Arial" w:hAnsi="Arial" w:cs="Arial"/>
        </w:rPr>
      </w:pPr>
    </w:p>
    <w:p w14:paraId="2CAFC4BF" w14:textId="559B99F0" w:rsidR="00243DBF" w:rsidRPr="00243DBF" w:rsidRDefault="00243DBF" w:rsidP="00243DBF">
      <w:pPr>
        <w:pStyle w:val="aa"/>
        <w:numPr>
          <w:ilvl w:val="0"/>
          <w:numId w:val="11"/>
        </w:numPr>
        <w:spacing w:after="0" w:line="360" w:lineRule="auto"/>
        <w:rPr>
          <w:rFonts w:ascii="Arial" w:hAnsi="Arial" w:cs="Arial"/>
          <w:b/>
          <w:bCs/>
          <w:color w:val="000000" w:themeColor="text1"/>
          <w:sz w:val="20"/>
          <w:szCs w:val="20"/>
        </w:rPr>
      </w:pPr>
      <w:r w:rsidRPr="00243DBF">
        <w:rPr>
          <w:rFonts w:ascii="Tahoma" w:eastAsia="Times New Roman" w:hAnsi="Tahoma" w:cs="Tahoma"/>
          <w:b/>
          <w:bCs/>
          <w:color w:val="000000"/>
          <w:sz w:val="20"/>
          <w:szCs w:val="20"/>
          <w:lang w:val="en-GB" w:eastAsia="el-GR"/>
        </w:rPr>
        <w:t>Policy Pillars</w:t>
      </w:r>
    </w:p>
    <w:p w14:paraId="6E1B983E" w14:textId="6791E3CD" w:rsidR="00243DBF" w:rsidRDefault="00243DBF" w:rsidP="00243DBF">
      <w:pPr>
        <w:spacing w:line="276" w:lineRule="auto"/>
        <w:jc w:val="both"/>
        <w:rPr>
          <w:rFonts w:ascii="Tahoma" w:hAnsi="Tahoma" w:cs="Tahoma"/>
          <w:color w:val="000000"/>
          <w:lang w:val="en-GB" w:eastAsia="el-GR"/>
        </w:rPr>
      </w:pPr>
      <w:r w:rsidRPr="00243DBF">
        <w:rPr>
          <w:rFonts w:ascii="Tahoma" w:hAnsi="Tahoma" w:cs="Tahoma"/>
          <w:color w:val="000000"/>
          <w:lang w:val="en-GB" w:eastAsia="el-GR"/>
        </w:rPr>
        <w:t>The Sustainable Development Policy has been developed in accordance with the company's values: Extroversion, Innovation, Investing in its people, Customer-centered approach. The Policy is determined by the Top Management, and within its framework, covers the following axes:</w:t>
      </w:r>
    </w:p>
    <w:p w14:paraId="62DD14B3" w14:textId="77777777" w:rsidR="00243DBF" w:rsidRPr="00243DBF" w:rsidRDefault="00243DBF" w:rsidP="00243DBF">
      <w:pPr>
        <w:spacing w:line="276" w:lineRule="auto"/>
        <w:jc w:val="both"/>
        <w:rPr>
          <w:rFonts w:ascii="Tahoma" w:hAnsi="Tahoma" w:cs="Tahoma"/>
          <w:color w:val="000000"/>
          <w:lang w:val="en-GB" w:eastAsia="el-GR"/>
        </w:rPr>
      </w:pPr>
    </w:p>
    <w:p w14:paraId="71E48A13" w14:textId="77777777" w:rsidR="00243DBF" w:rsidRPr="00B22DC3" w:rsidRDefault="00243DBF" w:rsidP="00B22DC3">
      <w:pPr>
        <w:spacing w:after="60" w:line="360" w:lineRule="auto"/>
        <w:jc w:val="both"/>
        <w:rPr>
          <w:rFonts w:ascii="Tahoma" w:hAnsi="Tahoma" w:cs="Tahoma"/>
          <w:b/>
          <w:bCs/>
        </w:rPr>
      </w:pPr>
      <w:r w:rsidRPr="00B22DC3">
        <w:rPr>
          <w:rFonts w:ascii="Tahoma" w:hAnsi="Tahoma" w:cs="Tahoma"/>
          <w:b/>
          <w:bCs/>
        </w:rPr>
        <w:t>Environment (</w:t>
      </w:r>
      <w:r w:rsidRPr="00B22DC3">
        <w:rPr>
          <w:rFonts w:ascii="Tahoma" w:hAnsi="Tahoma" w:cs="Tahoma"/>
          <w:b/>
          <w:bCs/>
          <w:color w:val="70AD47" w:themeColor="accent6"/>
        </w:rPr>
        <w:t>E</w:t>
      </w:r>
      <w:r w:rsidRPr="00B22DC3">
        <w:rPr>
          <w:rFonts w:ascii="Tahoma" w:hAnsi="Tahoma" w:cs="Tahoma"/>
          <w:b/>
          <w:bCs/>
        </w:rPr>
        <w:t>nvironment)</w:t>
      </w:r>
    </w:p>
    <w:p w14:paraId="3596F890" w14:textId="3D1536CF" w:rsidR="00243DBF" w:rsidRPr="00243DBF" w:rsidRDefault="00243DBF" w:rsidP="00B22DC3">
      <w:pPr>
        <w:spacing w:after="60" w:line="276" w:lineRule="auto"/>
        <w:jc w:val="both"/>
        <w:rPr>
          <w:rFonts w:ascii="Tahoma" w:hAnsi="Tahoma" w:cs="Tahoma"/>
          <w:color w:val="000000"/>
          <w:lang w:val="en-GB" w:eastAsia="el-GR"/>
        </w:rPr>
      </w:pPr>
      <w:r w:rsidRPr="00243DBF">
        <w:rPr>
          <w:rFonts w:ascii="Tahoma" w:hAnsi="Tahoma" w:cs="Tahoma"/>
          <w:color w:val="000000"/>
          <w:lang w:val="en-GB" w:eastAsia="el-GR"/>
        </w:rPr>
        <w:t>LAMDA Development sets environmental protection as a key parameter in any business and commercial development, considering both the legislation and the relevant best practices for managing its impacts on the following environmental aspects:</w:t>
      </w:r>
    </w:p>
    <w:p w14:paraId="7BCA8972" w14:textId="77777777" w:rsidR="00243DBF" w:rsidRPr="00243DBF" w:rsidRDefault="00243DBF" w:rsidP="00B22DC3">
      <w:pPr>
        <w:pStyle w:val="aa"/>
        <w:numPr>
          <w:ilvl w:val="0"/>
          <w:numId w:val="14"/>
        </w:numPr>
        <w:spacing w:after="60" w:line="360" w:lineRule="auto"/>
        <w:ind w:left="284" w:hanging="284"/>
        <w:jc w:val="both"/>
        <w:rPr>
          <w:rFonts w:ascii="Tahoma" w:hAnsi="Tahoma" w:cs="Tahoma"/>
          <w:b/>
          <w:bCs/>
          <w:color w:val="000000"/>
          <w:sz w:val="20"/>
          <w:szCs w:val="20"/>
          <w:lang w:val="en-GB" w:eastAsia="el-GR"/>
        </w:rPr>
      </w:pPr>
      <w:r w:rsidRPr="00243DBF">
        <w:rPr>
          <w:rFonts w:ascii="Tahoma" w:hAnsi="Tahoma" w:cs="Tahoma"/>
          <w:b/>
          <w:bCs/>
          <w:color w:val="000000"/>
          <w:sz w:val="20"/>
          <w:szCs w:val="20"/>
          <w:lang w:val="en-GB" w:eastAsia="el-GR"/>
        </w:rPr>
        <w:t>Climate change (GHG emissions)</w:t>
      </w:r>
    </w:p>
    <w:p w14:paraId="2407D227" w14:textId="77777777" w:rsidR="00243DBF" w:rsidRPr="00243DBF" w:rsidRDefault="00243DBF" w:rsidP="00B22DC3">
      <w:pPr>
        <w:pStyle w:val="aa"/>
        <w:numPr>
          <w:ilvl w:val="0"/>
          <w:numId w:val="14"/>
        </w:numPr>
        <w:spacing w:line="360" w:lineRule="auto"/>
        <w:ind w:left="284" w:hanging="284"/>
        <w:jc w:val="both"/>
        <w:rPr>
          <w:rFonts w:ascii="Tahoma" w:hAnsi="Tahoma" w:cs="Tahoma"/>
          <w:b/>
          <w:bCs/>
          <w:color w:val="000000"/>
          <w:sz w:val="20"/>
          <w:szCs w:val="20"/>
          <w:lang w:val="en-GB" w:eastAsia="el-GR"/>
        </w:rPr>
      </w:pPr>
      <w:r w:rsidRPr="00243DBF">
        <w:rPr>
          <w:rFonts w:ascii="Tahoma" w:hAnsi="Tahoma" w:cs="Tahoma"/>
          <w:b/>
          <w:bCs/>
          <w:color w:val="000000"/>
          <w:sz w:val="20"/>
          <w:szCs w:val="20"/>
          <w:lang w:val="en-GB" w:eastAsia="el-GR"/>
        </w:rPr>
        <w:t xml:space="preserve">Air, </w:t>
      </w:r>
      <w:proofErr w:type="gramStart"/>
      <w:r w:rsidRPr="00243DBF">
        <w:rPr>
          <w:rFonts w:ascii="Tahoma" w:hAnsi="Tahoma" w:cs="Tahoma"/>
          <w:b/>
          <w:bCs/>
          <w:color w:val="000000"/>
          <w:sz w:val="20"/>
          <w:szCs w:val="20"/>
          <w:lang w:val="en-GB" w:eastAsia="el-GR"/>
        </w:rPr>
        <w:t>noise</w:t>
      </w:r>
      <w:proofErr w:type="gramEnd"/>
      <w:r w:rsidRPr="00243DBF">
        <w:rPr>
          <w:rFonts w:ascii="Tahoma" w:hAnsi="Tahoma" w:cs="Tahoma"/>
          <w:b/>
          <w:bCs/>
          <w:color w:val="000000"/>
          <w:sz w:val="20"/>
          <w:szCs w:val="20"/>
          <w:lang w:val="en-GB" w:eastAsia="el-GR"/>
        </w:rPr>
        <w:t xml:space="preserve"> and particulate matter pollution</w:t>
      </w:r>
    </w:p>
    <w:p w14:paraId="5B15DFD5" w14:textId="77777777" w:rsidR="00243DBF" w:rsidRPr="00243DBF" w:rsidRDefault="00243DBF" w:rsidP="00B22DC3">
      <w:pPr>
        <w:pStyle w:val="aa"/>
        <w:numPr>
          <w:ilvl w:val="0"/>
          <w:numId w:val="14"/>
        </w:numPr>
        <w:spacing w:line="360" w:lineRule="auto"/>
        <w:ind w:left="284" w:hanging="284"/>
        <w:jc w:val="both"/>
        <w:rPr>
          <w:rFonts w:ascii="Tahoma" w:hAnsi="Tahoma" w:cs="Tahoma"/>
          <w:b/>
          <w:bCs/>
          <w:color w:val="000000"/>
          <w:sz w:val="20"/>
          <w:szCs w:val="20"/>
          <w:lang w:val="en-GB" w:eastAsia="el-GR"/>
        </w:rPr>
      </w:pPr>
      <w:r w:rsidRPr="00243DBF">
        <w:rPr>
          <w:rFonts w:ascii="Tahoma" w:hAnsi="Tahoma" w:cs="Tahoma"/>
          <w:b/>
          <w:bCs/>
          <w:color w:val="000000"/>
          <w:sz w:val="20"/>
          <w:szCs w:val="20"/>
          <w:lang w:val="en-GB" w:eastAsia="el-GR"/>
        </w:rPr>
        <w:t>Biodiversity (effects on the ecosystems – animals, plants) and soil</w:t>
      </w:r>
    </w:p>
    <w:p w14:paraId="7138DB06" w14:textId="77777777" w:rsidR="00243DBF" w:rsidRPr="00243DBF" w:rsidRDefault="00243DBF" w:rsidP="00B22DC3">
      <w:pPr>
        <w:pStyle w:val="aa"/>
        <w:numPr>
          <w:ilvl w:val="0"/>
          <w:numId w:val="14"/>
        </w:numPr>
        <w:spacing w:line="360" w:lineRule="auto"/>
        <w:ind w:left="284" w:hanging="284"/>
        <w:jc w:val="both"/>
        <w:rPr>
          <w:rFonts w:ascii="Tahoma" w:hAnsi="Tahoma" w:cs="Tahoma"/>
          <w:b/>
          <w:bCs/>
          <w:color w:val="000000"/>
          <w:sz w:val="20"/>
          <w:szCs w:val="20"/>
          <w:lang w:val="en-GB" w:eastAsia="el-GR"/>
        </w:rPr>
      </w:pPr>
      <w:r w:rsidRPr="00243DBF">
        <w:rPr>
          <w:rFonts w:ascii="Tahoma" w:hAnsi="Tahoma" w:cs="Tahoma"/>
          <w:b/>
          <w:bCs/>
          <w:color w:val="000000"/>
          <w:sz w:val="20"/>
          <w:szCs w:val="20"/>
          <w:lang w:val="en-GB" w:eastAsia="el-GR"/>
        </w:rPr>
        <w:lastRenderedPageBreak/>
        <w:t>Resource efficiency/materials (raw materials and supplies)</w:t>
      </w:r>
    </w:p>
    <w:p w14:paraId="2D375D8E" w14:textId="77777777" w:rsidR="00243DBF" w:rsidRPr="00243DBF" w:rsidRDefault="00243DBF" w:rsidP="00B22DC3">
      <w:pPr>
        <w:pStyle w:val="aa"/>
        <w:numPr>
          <w:ilvl w:val="0"/>
          <w:numId w:val="14"/>
        </w:numPr>
        <w:spacing w:line="360" w:lineRule="auto"/>
        <w:ind w:left="284" w:hanging="284"/>
        <w:jc w:val="both"/>
        <w:rPr>
          <w:rFonts w:ascii="Tahoma" w:hAnsi="Tahoma" w:cs="Tahoma"/>
          <w:b/>
          <w:bCs/>
          <w:color w:val="000000"/>
          <w:sz w:val="20"/>
          <w:szCs w:val="20"/>
          <w:lang w:val="en-GB" w:eastAsia="el-GR"/>
        </w:rPr>
      </w:pPr>
      <w:r w:rsidRPr="00243DBF">
        <w:rPr>
          <w:rFonts w:ascii="Tahoma" w:hAnsi="Tahoma" w:cs="Tahoma"/>
          <w:b/>
          <w:bCs/>
          <w:color w:val="000000"/>
          <w:sz w:val="20"/>
          <w:szCs w:val="20"/>
          <w:lang w:val="en-GB" w:eastAsia="el-GR"/>
        </w:rPr>
        <w:t>Solid waste</w:t>
      </w:r>
    </w:p>
    <w:p w14:paraId="400CEB79" w14:textId="77777777" w:rsidR="00243DBF" w:rsidRPr="00243DBF" w:rsidRDefault="00243DBF" w:rsidP="00B22DC3">
      <w:pPr>
        <w:pStyle w:val="aa"/>
        <w:numPr>
          <w:ilvl w:val="0"/>
          <w:numId w:val="14"/>
        </w:numPr>
        <w:spacing w:line="360" w:lineRule="auto"/>
        <w:ind w:left="284" w:hanging="284"/>
        <w:jc w:val="both"/>
        <w:rPr>
          <w:rFonts w:ascii="Tahoma" w:hAnsi="Tahoma" w:cs="Tahoma"/>
          <w:b/>
          <w:bCs/>
          <w:color w:val="000000"/>
          <w:sz w:val="20"/>
          <w:szCs w:val="20"/>
          <w:lang w:val="en-GB" w:eastAsia="el-GR"/>
        </w:rPr>
      </w:pPr>
      <w:r w:rsidRPr="00243DBF">
        <w:rPr>
          <w:rFonts w:ascii="Tahoma" w:hAnsi="Tahoma" w:cs="Tahoma"/>
          <w:b/>
          <w:bCs/>
          <w:color w:val="000000"/>
          <w:sz w:val="20"/>
          <w:szCs w:val="20"/>
          <w:lang w:val="en-GB" w:eastAsia="el-GR"/>
        </w:rPr>
        <w:t>Waste and wastewater</w:t>
      </w:r>
    </w:p>
    <w:p w14:paraId="3E7EFB3B" w14:textId="77777777" w:rsidR="00243DBF" w:rsidRPr="00B22DC3" w:rsidRDefault="00243DBF" w:rsidP="00B22DC3">
      <w:pPr>
        <w:spacing w:after="60" w:line="360" w:lineRule="auto"/>
        <w:rPr>
          <w:rFonts w:ascii="Tahoma" w:hAnsi="Tahoma" w:cs="Tahoma"/>
          <w:b/>
          <w:bCs/>
        </w:rPr>
      </w:pPr>
      <w:r w:rsidRPr="00B22DC3">
        <w:rPr>
          <w:rFonts w:ascii="Tahoma" w:hAnsi="Tahoma" w:cs="Tahoma"/>
          <w:b/>
          <w:bCs/>
        </w:rPr>
        <w:t>Society (</w:t>
      </w:r>
      <w:r w:rsidRPr="00B22DC3">
        <w:rPr>
          <w:rFonts w:ascii="Tahoma" w:hAnsi="Tahoma" w:cs="Tahoma"/>
          <w:b/>
          <w:bCs/>
          <w:color w:val="ED7D31" w:themeColor="accent2"/>
        </w:rPr>
        <w:t>S</w:t>
      </w:r>
      <w:r w:rsidRPr="00B22DC3">
        <w:rPr>
          <w:rFonts w:ascii="Tahoma" w:hAnsi="Tahoma" w:cs="Tahoma"/>
          <w:b/>
          <w:bCs/>
        </w:rPr>
        <w:t>ocial)</w:t>
      </w:r>
    </w:p>
    <w:p w14:paraId="2878C9A5" w14:textId="77777777" w:rsidR="00243DBF" w:rsidRPr="00B22DC3" w:rsidRDefault="00243DBF" w:rsidP="00B22DC3">
      <w:pPr>
        <w:spacing w:after="60" w:line="360" w:lineRule="auto"/>
        <w:jc w:val="both"/>
        <w:rPr>
          <w:rFonts w:ascii="Tahoma" w:hAnsi="Tahoma" w:cs="Tahoma"/>
          <w:color w:val="000000"/>
          <w:lang w:val="en-GB" w:eastAsia="el-GR"/>
        </w:rPr>
      </w:pPr>
      <w:r w:rsidRPr="00B22DC3">
        <w:rPr>
          <w:rFonts w:ascii="Tahoma" w:hAnsi="Tahoma" w:cs="Tahoma"/>
          <w:color w:val="000000"/>
          <w:lang w:val="en-GB" w:eastAsia="el-GR"/>
        </w:rPr>
        <w:t>The company's activity creates a series of social and economic impacts for its stakeholders, as well as for the country in general. The most material socio-economic impacts covered by this policy include:</w:t>
      </w:r>
    </w:p>
    <w:p w14:paraId="3CDC9629" w14:textId="77777777" w:rsidR="00243DBF" w:rsidRPr="00B22DC3" w:rsidRDefault="00243DBF" w:rsidP="00B22DC3">
      <w:pPr>
        <w:pStyle w:val="aa"/>
        <w:numPr>
          <w:ilvl w:val="0"/>
          <w:numId w:val="14"/>
        </w:numPr>
        <w:spacing w:line="360" w:lineRule="auto"/>
        <w:ind w:left="284" w:hanging="284"/>
        <w:jc w:val="both"/>
        <w:rPr>
          <w:rFonts w:ascii="Tahoma" w:hAnsi="Tahoma" w:cs="Tahoma"/>
          <w:b/>
          <w:bCs/>
          <w:color w:val="000000"/>
          <w:sz w:val="20"/>
          <w:szCs w:val="20"/>
          <w:lang w:val="en-GB" w:eastAsia="el-GR"/>
        </w:rPr>
      </w:pPr>
      <w:r w:rsidRPr="00B22DC3">
        <w:rPr>
          <w:rFonts w:ascii="Tahoma" w:hAnsi="Tahoma" w:cs="Tahoma"/>
          <w:b/>
          <w:bCs/>
          <w:color w:val="000000"/>
          <w:sz w:val="20"/>
          <w:szCs w:val="20"/>
          <w:lang w:val="en-GB" w:eastAsia="el-GR"/>
        </w:rPr>
        <w:t>Employment and economic value</w:t>
      </w:r>
    </w:p>
    <w:p w14:paraId="757966DA" w14:textId="77777777" w:rsidR="00243DBF" w:rsidRPr="00B22DC3" w:rsidRDefault="00243DBF" w:rsidP="00B22DC3">
      <w:pPr>
        <w:pStyle w:val="aa"/>
        <w:numPr>
          <w:ilvl w:val="0"/>
          <w:numId w:val="14"/>
        </w:numPr>
        <w:spacing w:line="360" w:lineRule="auto"/>
        <w:ind w:left="284" w:hanging="284"/>
        <w:jc w:val="both"/>
        <w:rPr>
          <w:rFonts w:ascii="Tahoma" w:hAnsi="Tahoma" w:cs="Tahoma"/>
          <w:b/>
          <w:bCs/>
          <w:color w:val="000000"/>
          <w:sz w:val="20"/>
          <w:szCs w:val="20"/>
          <w:lang w:val="en-GB" w:eastAsia="el-GR"/>
        </w:rPr>
      </w:pPr>
      <w:r w:rsidRPr="00B22DC3">
        <w:rPr>
          <w:rFonts w:ascii="Tahoma" w:hAnsi="Tahoma" w:cs="Tahoma"/>
          <w:b/>
          <w:bCs/>
          <w:color w:val="000000"/>
          <w:sz w:val="20"/>
          <w:szCs w:val="20"/>
          <w:lang w:val="en-GB" w:eastAsia="el-GR"/>
        </w:rPr>
        <w:t>Prosperity for the society and the local communities</w:t>
      </w:r>
    </w:p>
    <w:p w14:paraId="4D6BAFBB" w14:textId="77777777" w:rsidR="00243DBF" w:rsidRPr="00B22DC3" w:rsidRDefault="00243DBF" w:rsidP="00B22DC3">
      <w:pPr>
        <w:pStyle w:val="aa"/>
        <w:numPr>
          <w:ilvl w:val="0"/>
          <w:numId w:val="14"/>
        </w:numPr>
        <w:spacing w:line="360" w:lineRule="auto"/>
        <w:ind w:left="284" w:hanging="284"/>
        <w:jc w:val="both"/>
        <w:rPr>
          <w:rFonts w:ascii="Tahoma" w:hAnsi="Tahoma" w:cs="Tahoma"/>
          <w:b/>
          <w:bCs/>
          <w:color w:val="000000"/>
          <w:sz w:val="20"/>
          <w:szCs w:val="20"/>
          <w:lang w:val="en-GB" w:eastAsia="el-GR"/>
        </w:rPr>
      </w:pPr>
      <w:r w:rsidRPr="00B22DC3">
        <w:rPr>
          <w:rFonts w:ascii="Tahoma" w:hAnsi="Tahoma" w:cs="Tahoma"/>
          <w:b/>
          <w:bCs/>
          <w:color w:val="000000"/>
          <w:sz w:val="20"/>
          <w:szCs w:val="20"/>
          <w:lang w:val="en-GB" w:eastAsia="el-GR"/>
        </w:rPr>
        <w:t>Innovation and digital transformation</w:t>
      </w:r>
    </w:p>
    <w:p w14:paraId="3741808F" w14:textId="77777777" w:rsidR="00243DBF" w:rsidRPr="00B22DC3" w:rsidRDefault="00243DBF" w:rsidP="00B22DC3">
      <w:pPr>
        <w:pStyle w:val="aa"/>
        <w:numPr>
          <w:ilvl w:val="0"/>
          <w:numId w:val="14"/>
        </w:numPr>
        <w:spacing w:line="360" w:lineRule="auto"/>
        <w:ind w:left="284" w:hanging="284"/>
        <w:jc w:val="both"/>
        <w:rPr>
          <w:rFonts w:ascii="Tahoma" w:hAnsi="Tahoma" w:cs="Tahoma"/>
          <w:b/>
          <w:bCs/>
          <w:color w:val="000000"/>
          <w:sz w:val="20"/>
          <w:szCs w:val="20"/>
          <w:lang w:val="en-GB" w:eastAsia="el-GR"/>
        </w:rPr>
      </w:pPr>
      <w:r w:rsidRPr="00B22DC3">
        <w:rPr>
          <w:rFonts w:ascii="Tahoma" w:hAnsi="Tahoma" w:cs="Tahoma"/>
          <w:b/>
          <w:bCs/>
          <w:color w:val="000000"/>
          <w:sz w:val="20"/>
          <w:szCs w:val="20"/>
          <w:lang w:val="en-GB" w:eastAsia="el-GR"/>
        </w:rPr>
        <w:t>Dignity and equality</w:t>
      </w:r>
    </w:p>
    <w:p w14:paraId="66EDCFCE" w14:textId="77777777" w:rsidR="00243DBF" w:rsidRPr="00B22DC3" w:rsidRDefault="00243DBF" w:rsidP="00B22DC3">
      <w:pPr>
        <w:pStyle w:val="aa"/>
        <w:numPr>
          <w:ilvl w:val="0"/>
          <w:numId w:val="14"/>
        </w:numPr>
        <w:spacing w:line="360" w:lineRule="auto"/>
        <w:ind w:left="284" w:hanging="284"/>
        <w:jc w:val="both"/>
        <w:rPr>
          <w:rFonts w:ascii="Tahoma" w:hAnsi="Tahoma" w:cs="Tahoma"/>
          <w:b/>
          <w:bCs/>
          <w:color w:val="000000"/>
          <w:sz w:val="20"/>
          <w:szCs w:val="20"/>
          <w:lang w:val="en-GB" w:eastAsia="el-GR"/>
        </w:rPr>
      </w:pPr>
      <w:r w:rsidRPr="00B22DC3">
        <w:rPr>
          <w:rFonts w:ascii="Tahoma" w:hAnsi="Tahoma" w:cs="Tahoma"/>
          <w:b/>
          <w:bCs/>
          <w:color w:val="000000"/>
          <w:sz w:val="20"/>
          <w:szCs w:val="20"/>
          <w:lang w:val="en-GB" w:eastAsia="el-GR"/>
        </w:rPr>
        <w:t>Training and skills development of the future</w:t>
      </w:r>
    </w:p>
    <w:p w14:paraId="4C49F437" w14:textId="77777777" w:rsidR="00243DBF" w:rsidRPr="00B22DC3" w:rsidRDefault="00243DBF" w:rsidP="00B22DC3">
      <w:pPr>
        <w:pStyle w:val="aa"/>
        <w:numPr>
          <w:ilvl w:val="0"/>
          <w:numId w:val="14"/>
        </w:numPr>
        <w:spacing w:line="360" w:lineRule="auto"/>
        <w:ind w:left="284" w:hanging="284"/>
        <w:jc w:val="both"/>
        <w:rPr>
          <w:rFonts w:ascii="Tahoma" w:hAnsi="Tahoma" w:cs="Tahoma"/>
          <w:b/>
          <w:bCs/>
          <w:color w:val="000000"/>
          <w:sz w:val="20"/>
          <w:szCs w:val="20"/>
          <w:lang w:val="en-GB" w:eastAsia="el-GR"/>
        </w:rPr>
      </w:pPr>
      <w:r w:rsidRPr="00B22DC3">
        <w:rPr>
          <w:rFonts w:ascii="Tahoma" w:hAnsi="Tahoma" w:cs="Tahoma"/>
          <w:b/>
          <w:bCs/>
          <w:color w:val="000000"/>
          <w:sz w:val="20"/>
          <w:szCs w:val="20"/>
          <w:lang w:val="en-GB" w:eastAsia="el-GR"/>
        </w:rPr>
        <w:t xml:space="preserve">Health, </w:t>
      </w:r>
      <w:proofErr w:type="gramStart"/>
      <w:r w:rsidRPr="00B22DC3">
        <w:rPr>
          <w:rFonts w:ascii="Tahoma" w:hAnsi="Tahoma" w:cs="Tahoma"/>
          <w:b/>
          <w:bCs/>
          <w:color w:val="000000"/>
          <w:sz w:val="20"/>
          <w:szCs w:val="20"/>
          <w:lang w:val="en-GB" w:eastAsia="el-GR"/>
        </w:rPr>
        <w:t>safety</w:t>
      </w:r>
      <w:proofErr w:type="gramEnd"/>
      <w:r w:rsidRPr="00B22DC3">
        <w:rPr>
          <w:rFonts w:ascii="Tahoma" w:hAnsi="Tahoma" w:cs="Tahoma"/>
          <w:b/>
          <w:bCs/>
          <w:color w:val="000000"/>
          <w:sz w:val="20"/>
          <w:szCs w:val="20"/>
          <w:lang w:val="en-GB" w:eastAsia="el-GR"/>
        </w:rPr>
        <w:t xml:space="preserve"> and wellbeing</w:t>
      </w:r>
    </w:p>
    <w:p w14:paraId="39A01197" w14:textId="77777777" w:rsidR="00243DBF" w:rsidRPr="00243DBF" w:rsidRDefault="00243DBF" w:rsidP="00243DBF">
      <w:pPr>
        <w:jc w:val="both"/>
        <w:rPr>
          <w:rFonts w:ascii="Tahoma" w:hAnsi="Tahoma" w:cs="Tahoma"/>
          <w:color w:val="000000"/>
          <w:lang w:eastAsia="el-GR"/>
        </w:rPr>
      </w:pPr>
    </w:p>
    <w:p w14:paraId="033651FF" w14:textId="44DFBB6E" w:rsidR="00B22DC3" w:rsidRPr="00B22DC3" w:rsidRDefault="00B22DC3" w:rsidP="00B22DC3">
      <w:pPr>
        <w:spacing w:after="60" w:line="360" w:lineRule="auto"/>
        <w:rPr>
          <w:rFonts w:ascii="Tahoma" w:hAnsi="Tahoma" w:cs="Tahoma"/>
          <w:b/>
          <w:bCs/>
        </w:rPr>
      </w:pPr>
      <w:r w:rsidRPr="00B22DC3">
        <w:rPr>
          <w:rFonts w:ascii="Tahoma" w:hAnsi="Tahoma" w:cs="Tahoma"/>
          <w:b/>
          <w:bCs/>
        </w:rPr>
        <w:t>Governance (</w:t>
      </w:r>
      <w:r w:rsidRPr="00B22DC3">
        <w:rPr>
          <w:rFonts w:ascii="Tahoma" w:hAnsi="Tahoma" w:cs="Tahoma"/>
          <w:b/>
          <w:bCs/>
          <w:color w:val="BF8F00" w:themeColor="accent4" w:themeShade="BF"/>
        </w:rPr>
        <w:t>G</w:t>
      </w:r>
      <w:r w:rsidRPr="00B22DC3">
        <w:rPr>
          <w:rFonts w:ascii="Tahoma" w:hAnsi="Tahoma" w:cs="Tahoma"/>
          <w:b/>
          <w:bCs/>
        </w:rPr>
        <w:t>overnance)</w:t>
      </w:r>
    </w:p>
    <w:p w14:paraId="55F45F81" w14:textId="77777777" w:rsidR="00B22DC3" w:rsidRPr="00B22DC3" w:rsidRDefault="00B22DC3" w:rsidP="00B22DC3">
      <w:pPr>
        <w:spacing w:after="60" w:line="360" w:lineRule="auto"/>
        <w:jc w:val="both"/>
        <w:rPr>
          <w:rFonts w:ascii="Tahoma" w:hAnsi="Tahoma" w:cs="Tahoma"/>
          <w:color w:val="000000"/>
          <w:lang w:val="en-GB" w:eastAsia="el-GR"/>
        </w:rPr>
      </w:pPr>
      <w:r w:rsidRPr="00B22DC3">
        <w:rPr>
          <w:rFonts w:ascii="Tahoma" w:hAnsi="Tahoma" w:cs="Tahoma"/>
          <w:color w:val="000000"/>
          <w:lang w:val="en-GB" w:eastAsia="el-GR"/>
        </w:rPr>
        <w:t xml:space="preserve">LAMDA Development, through the implementation of standards, </w:t>
      </w:r>
      <w:proofErr w:type="gramStart"/>
      <w:r w:rsidRPr="00B22DC3">
        <w:rPr>
          <w:rFonts w:ascii="Tahoma" w:hAnsi="Tahoma" w:cs="Tahoma"/>
          <w:color w:val="000000"/>
          <w:lang w:val="en-GB" w:eastAsia="el-GR"/>
        </w:rPr>
        <w:t>principles</w:t>
      </w:r>
      <w:proofErr w:type="gramEnd"/>
      <w:r w:rsidRPr="00B22DC3">
        <w:rPr>
          <w:rFonts w:ascii="Tahoma" w:hAnsi="Tahoma" w:cs="Tahoma"/>
          <w:color w:val="000000"/>
          <w:lang w:val="en-GB" w:eastAsia="el-GR"/>
        </w:rPr>
        <w:t xml:space="preserve"> and corporate governance best practices, seeks to operate with ethics, extroversion and transparency in every business operation aspect, in order to enhance its competitiveness and to create benefits at every level of its value chain. This policy includes the following aspects of a robust corporate governance approach:</w:t>
      </w:r>
    </w:p>
    <w:p w14:paraId="1B00B6BA" w14:textId="77777777" w:rsidR="00B22DC3" w:rsidRPr="00B22DC3" w:rsidRDefault="00B22DC3" w:rsidP="00B22DC3">
      <w:pPr>
        <w:pStyle w:val="aa"/>
        <w:numPr>
          <w:ilvl w:val="0"/>
          <w:numId w:val="13"/>
        </w:numPr>
        <w:spacing w:before="120" w:after="120" w:line="276" w:lineRule="auto"/>
        <w:ind w:left="284" w:hanging="284"/>
        <w:contextualSpacing w:val="0"/>
        <w:rPr>
          <w:rFonts w:ascii="Tahoma" w:hAnsi="Tahoma" w:cs="Tahoma"/>
          <w:b/>
          <w:bCs/>
          <w:color w:val="000000"/>
          <w:sz w:val="20"/>
          <w:szCs w:val="20"/>
          <w:lang w:val="en-GB" w:eastAsia="el-GR"/>
        </w:rPr>
      </w:pPr>
      <w:r w:rsidRPr="00B22DC3">
        <w:rPr>
          <w:rFonts w:ascii="Tahoma" w:hAnsi="Tahoma" w:cs="Tahoma"/>
          <w:b/>
          <w:bCs/>
          <w:color w:val="000000"/>
          <w:sz w:val="20"/>
          <w:szCs w:val="20"/>
          <w:lang w:val="en-GB" w:eastAsia="el-GR"/>
        </w:rPr>
        <w:t xml:space="preserve">Corporate Governance </w:t>
      </w:r>
    </w:p>
    <w:p w14:paraId="056EC668" w14:textId="77777777" w:rsidR="00B22DC3" w:rsidRPr="00B22DC3" w:rsidRDefault="00B22DC3" w:rsidP="00B22DC3">
      <w:pPr>
        <w:pStyle w:val="aa"/>
        <w:numPr>
          <w:ilvl w:val="0"/>
          <w:numId w:val="13"/>
        </w:numPr>
        <w:spacing w:before="120" w:after="120" w:line="276" w:lineRule="auto"/>
        <w:ind w:left="284" w:hanging="284"/>
        <w:contextualSpacing w:val="0"/>
        <w:rPr>
          <w:rFonts w:ascii="Tahoma" w:hAnsi="Tahoma" w:cs="Tahoma"/>
          <w:b/>
          <w:bCs/>
          <w:color w:val="000000"/>
          <w:sz w:val="20"/>
          <w:szCs w:val="20"/>
          <w:lang w:val="en-GB" w:eastAsia="el-GR"/>
        </w:rPr>
      </w:pPr>
      <w:r w:rsidRPr="00B22DC3">
        <w:rPr>
          <w:rFonts w:ascii="Tahoma" w:hAnsi="Tahoma" w:cs="Tahoma"/>
          <w:b/>
          <w:bCs/>
          <w:color w:val="000000"/>
          <w:sz w:val="20"/>
          <w:szCs w:val="20"/>
          <w:lang w:val="en-GB" w:eastAsia="el-GR"/>
        </w:rPr>
        <w:t>Stakeholder engagement/participation</w:t>
      </w:r>
    </w:p>
    <w:p w14:paraId="05BE262D" w14:textId="77777777" w:rsidR="00B22DC3" w:rsidRPr="00B22DC3" w:rsidRDefault="00B22DC3" w:rsidP="00B22DC3">
      <w:pPr>
        <w:pStyle w:val="aa"/>
        <w:numPr>
          <w:ilvl w:val="0"/>
          <w:numId w:val="13"/>
        </w:numPr>
        <w:spacing w:before="120" w:after="120" w:line="276" w:lineRule="auto"/>
        <w:ind w:left="284" w:hanging="284"/>
        <w:contextualSpacing w:val="0"/>
        <w:rPr>
          <w:rFonts w:ascii="Tahoma" w:hAnsi="Tahoma" w:cs="Tahoma"/>
          <w:b/>
          <w:bCs/>
          <w:color w:val="000000"/>
          <w:sz w:val="20"/>
          <w:szCs w:val="20"/>
          <w:lang w:val="en-GB" w:eastAsia="el-GR"/>
        </w:rPr>
      </w:pPr>
      <w:r w:rsidRPr="00B22DC3">
        <w:rPr>
          <w:rFonts w:ascii="Tahoma" w:hAnsi="Tahoma" w:cs="Tahoma"/>
          <w:b/>
          <w:bCs/>
          <w:color w:val="000000"/>
          <w:sz w:val="20"/>
          <w:szCs w:val="20"/>
          <w:lang w:val="en-GB" w:eastAsia="el-GR"/>
        </w:rPr>
        <w:t>Regulatory compliance and business ethics</w:t>
      </w:r>
    </w:p>
    <w:p w14:paraId="6ACB4E22" w14:textId="77777777" w:rsidR="00B22DC3" w:rsidRPr="00B22DC3" w:rsidRDefault="00B22DC3" w:rsidP="00B22DC3">
      <w:pPr>
        <w:pStyle w:val="aa"/>
        <w:numPr>
          <w:ilvl w:val="0"/>
          <w:numId w:val="13"/>
        </w:numPr>
        <w:spacing w:before="120" w:after="120" w:line="276" w:lineRule="auto"/>
        <w:ind w:left="284" w:hanging="284"/>
        <w:contextualSpacing w:val="0"/>
        <w:rPr>
          <w:rFonts w:ascii="Tahoma" w:hAnsi="Tahoma" w:cs="Tahoma"/>
          <w:b/>
          <w:bCs/>
          <w:color w:val="000000"/>
          <w:sz w:val="20"/>
          <w:szCs w:val="20"/>
          <w:lang w:val="en-GB" w:eastAsia="el-GR"/>
        </w:rPr>
      </w:pPr>
      <w:r w:rsidRPr="00B22DC3">
        <w:rPr>
          <w:rFonts w:ascii="Tahoma" w:hAnsi="Tahoma" w:cs="Tahoma"/>
          <w:b/>
          <w:bCs/>
          <w:color w:val="000000"/>
          <w:sz w:val="20"/>
          <w:szCs w:val="20"/>
          <w:lang w:val="en-GB" w:eastAsia="el-GR"/>
        </w:rPr>
        <w:t xml:space="preserve">Risk management, business continuity and emergency preparedness </w:t>
      </w:r>
    </w:p>
    <w:p w14:paraId="14815AA0" w14:textId="77777777" w:rsidR="00B22DC3" w:rsidRPr="00B22DC3" w:rsidRDefault="00B22DC3" w:rsidP="00B22DC3">
      <w:pPr>
        <w:pStyle w:val="aa"/>
        <w:numPr>
          <w:ilvl w:val="0"/>
          <w:numId w:val="13"/>
        </w:numPr>
        <w:spacing w:before="120" w:after="120" w:line="276" w:lineRule="auto"/>
        <w:ind w:left="284" w:hanging="284"/>
        <w:contextualSpacing w:val="0"/>
        <w:rPr>
          <w:rFonts w:ascii="Tahoma" w:hAnsi="Tahoma" w:cs="Tahoma"/>
          <w:b/>
          <w:bCs/>
          <w:color w:val="000000"/>
          <w:sz w:val="20"/>
          <w:szCs w:val="20"/>
          <w:lang w:val="en-GB" w:eastAsia="el-GR"/>
        </w:rPr>
      </w:pPr>
      <w:r w:rsidRPr="00B22DC3">
        <w:rPr>
          <w:rFonts w:ascii="Tahoma" w:hAnsi="Tahoma" w:cs="Tahoma"/>
          <w:b/>
          <w:bCs/>
          <w:color w:val="000000"/>
          <w:sz w:val="20"/>
          <w:szCs w:val="20"/>
          <w:lang w:val="en-GB" w:eastAsia="el-GR"/>
        </w:rPr>
        <w:t>Responsible investments and sustainable finance</w:t>
      </w:r>
    </w:p>
    <w:p w14:paraId="417E71BC" w14:textId="77777777" w:rsidR="00B22DC3" w:rsidRPr="00B22DC3" w:rsidRDefault="00B22DC3" w:rsidP="00B22DC3">
      <w:pPr>
        <w:pStyle w:val="aa"/>
        <w:numPr>
          <w:ilvl w:val="0"/>
          <w:numId w:val="13"/>
        </w:numPr>
        <w:spacing w:before="120" w:after="120" w:line="276" w:lineRule="auto"/>
        <w:ind w:left="284" w:hanging="284"/>
        <w:contextualSpacing w:val="0"/>
        <w:rPr>
          <w:rFonts w:ascii="Tahoma" w:hAnsi="Tahoma" w:cs="Tahoma"/>
          <w:b/>
          <w:bCs/>
          <w:color w:val="000000"/>
          <w:sz w:val="20"/>
          <w:szCs w:val="20"/>
          <w:lang w:val="en-GB" w:eastAsia="el-GR"/>
        </w:rPr>
      </w:pPr>
      <w:r w:rsidRPr="00B22DC3">
        <w:rPr>
          <w:rFonts w:ascii="Tahoma" w:hAnsi="Tahoma" w:cs="Tahoma"/>
          <w:b/>
          <w:bCs/>
          <w:color w:val="000000"/>
          <w:sz w:val="20"/>
          <w:szCs w:val="20"/>
          <w:lang w:val="en-GB" w:eastAsia="el-GR"/>
        </w:rPr>
        <w:t xml:space="preserve">Responsible procurement </w:t>
      </w:r>
    </w:p>
    <w:p w14:paraId="56A03AFB" w14:textId="77777777" w:rsidR="00243DBF" w:rsidRDefault="00243DBF" w:rsidP="00243DBF">
      <w:pPr>
        <w:jc w:val="both"/>
        <w:rPr>
          <w:rFonts w:ascii="Tahoma" w:hAnsi="Tahoma" w:cs="Tahoma"/>
          <w:color w:val="000000"/>
          <w:lang w:val="en-GB" w:eastAsia="el-GR"/>
        </w:rPr>
      </w:pPr>
    </w:p>
    <w:p w14:paraId="725C0F15" w14:textId="5F2F0A81" w:rsidR="00B22DC3" w:rsidRPr="00F40E2D" w:rsidRDefault="00B22DC3" w:rsidP="00B22DC3">
      <w:pPr>
        <w:pStyle w:val="aa"/>
        <w:numPr>
          <w:ilvl w:val="0"/>
          <w:numId w:val="11"/>
        </w:numPr>
        <w:spacing w:after="60" w:line="276" w:lineRule="auto"/>
        <w:rPr>
          <w:rFonts w:ascii="Tahoma" w:hAnsi="Tahoma" w:cs="Tahoma"/>
          <w:b/>
          <w:bCs/>
          <w:color w:val="000000"/>
          <w:sz w:val="20"/>
          <w:szCs w:val="20"/>
          <w:lang w:val="en-GB" w:eastAsia="el-GR"/>
        </w:rPr>
      </w:pPr>
      <w:r w:rsidRPr="00F40E2D">
        <w:rPr>
          <w:rFonts w:ascii="Tahoma" w:hAnsi="Tahoma" w:cs="Tahoma"/>
          <w:b/>
          <w:bCs/>
          <w:color w:val="000000"/>
          <w:sz w:val="20"/>
          <w:szCs w:val="20"/>
          <w:lang w:val="en-GB" w:eastAsia="el-GR"/>
        </w:rPr>
        <w:t>Roles and responsibilities</w:t>
      </w:r>
    </w:p>
    <w:p w14:paraId="50BB8726" w14:textId="77777777" w:rsidR="00B22DC3" w:rsidRPr="00B22DC3" w:rsidRDefault="00B22DC3" w:rsidP="00B22DC3">
      <w:pPr>
        <w:spacing w:after="60" w:line="276" w:lineRule="auto"/>
        <w:jc w:val="both"/>
        <w:rPr>
          <w:rFonts w:ascii="Tahoma" w:hAnsi="Tahoma" w:cs="Tahoma"/>
          <w:color w:val="000000"/>
          <w:lang w:val="en-GB" w:eastAsia="el-GR"/>
        </w:rPr>
      </w:pPr>
      <w:r w:rsidRPr="00B22DC3">
        <w:rPr>
          <w:rFonts w:ascii="Tahoma" w:hAnsi="Tahoma" w:cs="Tahoma"/>
          <w:color w:val="000000"/>
          <w:lang w:val="en-GB" w:eastAsia="el-GR"/>
        </w:rPr>
        <w:t>The responsibility for the compliance with the Sustainable Development Policy and the strategy deriving from it, lies within the Board of Directors.</w:t>
      </w:r>
    </w:p>
    <w:p w14:paraId="453C93A6" w14:textId="77777777" w:rsidR="00B22DC3" w:rsidRPr="00B22DC3" w:rsidRDefault="00B22DC3" w:rsidP="00B22DC3">
      <w:pPr>
        <w:spacing w:after="60" w:line="276" w:lineRule="auto"/>
        <w:jc w:val="both"/>
        <w:rPr>
          <w:rFonts w:ascii="Tahoma" w:hAnsi="Tahoma" w:cs="Tahoma"/>
          <w:color w:val="000000"/>
          <w:lang w:val="en-GB" w:eastAsia="el-GR"/>
        </w:rPr>
      </w:pPr>
      <w:r w:rsidRPr="00B22DC3">
        <w:rPr>
          <w:rFonts w:ascii="Tahoma" w:hAnsi="Tahoma" w:cs="Tahoma"/>
          <w:color w:val="000000"/>
          <w:lang w:val="en-GB" w:eastAsia="el-GR"/>
        </w:rPr>
        <w:t>Respectively, the responsibility for monitoring the implementation of the Sustainable Development programs, the monitoring of the relevant goals/performance indicators and results, lies within the respective company Divisions.</w:t>
      </w:r>
    </w:p>
    <w:p w14:paraId="79546EAF" w14:textId="77777777" w:rsidR="00243DBF" w:rsidRDefault="00243DBF" w:rsidP="00243DBF">
      <w:pPr>
        <w:jc w:val="both"/>
        <w:rPr>
          <w:rFonts w:ascii="Tahoma" w:hAnsi="Tahoma" w:cs="Tahoma"/>
          <w:color w:val="000000"/>
          <w:lang w:val="en-GB" w:eastAsia="el-GR"/>
        </w:rPr>
      </w:pPr>
    </w:p>
    <w:bookmarkEnd w:id="1"/>
    <w:p w14:paraId="229BFB8D" w14:textId="77777777" w:rsidR="000958A8" w:rsidRPr="00681480" w:rsidRDefault="000958A8" w:rsidP="005401A9">
      <w:pPr>
        <w:jc w:val="both"/>
        <w:rPr>
          <w:rFonts w:ascii="Arial" w:hAnsi="Arial" w:cs="Arial"/>
          <w:color w:val="000000"/>
          <w:sz w:val="22"/>
          <w:szCs w:val="22"/>
          <w:lang w:val="en-GB" w:eastAsia="el-GR"/>
        </w:rPr>
      </w:pPr>
    </w:p>
    <w:sectPr w:rsidR="000958A8" w:rsidRPr="00681480" w:rsidSect="00E34C6D">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19C84" w14:textId="77777777" w:rsidR="008802EA" w:rsidRDefault="008802EA">
      <w:r>
        <w:separator/>
      </w:r>
    </w:p>
  </w:endnote>
  <w:endnote w:type="continuationSeparator" w:id="0">
    <w:p w14:paraId="3A86F1F7" w14:textId="77777777" w:rsidR="008802EA" w:rsidRDefault="00880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1"/>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3E8F9" w14:textId="77777777" w:rsidR="008802EA" w:rsidRDefault="008802EA">
      <w:r>
        <w:separator/>
      </w:r>
    </w:p>
  </w:footnote>
  <w:footnote w:type="continuationSeparator" w:id="0">
    <w:p w14:paraId="3A6187BA" w14:textId="77777777" w:rsidR="008802EA" w:rsidRDefault="008802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95pt;height:10.95pt" o:bullet="t">
        <v:imagedata r:id="rId1" o:title="msoEB6F"/>
      </v:shape>
    </w:pict>
  </w:numPicBullet>
  <w:abstractNum w:abstractNumId="0" w15:restartNumberingAfterBreak="0">
    <w:nsid w:val="07F26EEF"/>
    <w:multiLevelType w:val="multilevel"/>
    <w:tmpl w:val="FBFE0106"/>
    <w:lvl w:ilvl="0">
      <w:start w:val="1"/>
      <w:numFmt w:val="decimal"/>
      <w:lvlText w:val="%1."/>
      <w:lvlJc w:val="left"/>
      <w:pPr>
        <w:tabs>
          <w:tab w:val="num" w:pos="4548"/>
        </w:tabs>
        <w:ind w:left="4548" w:hanging="360"/>
      </w:pPr>
      <w:rPr>
        <w:rFonts w:hint="default"/>
      </w:rPr>
    </w:lvl>
    <w:lvl w:ilvl="1">
      <w:start w:val="1"/>
      <w:numFmt w:val="lowerLetter"/>
      <w:lvlText w:val="%2."/>
      <w:lvlJc w:val="left"/>
      <w:pPr>
        <w:tabs>
          <w:tab w:val="num" w:pos="5268"/>
        </w:tabs>
        <w:ind w:left="5268" w:hanging="360"/>
      </w:pPr>
    </w:lvl>
    <w:lvl w:ilvl="2">
      <w:start w:val="1"/>
      <w:numFmt w:val="lowerRoman"/>
      <w:lvlText w:val="%3."/>
      <w:lvlJc w:val="right"/>
      <w:pPr>
        <w:tabs>
          <w:tab w:val="num" w:pos="5988"/>
        </w:tabs>
        <w:ind w:left="5988" w:hanging="180"/>
      </w:pPr>
    </w:lvl>
    <w:lvl w:ilvl="3">
      <w:start w:val="1"/>
      <w:numFmt w:val="decimal"/>
      <w:lvlText w:val="%4."/>
      <w:lvlJc w:val="left"/>
      <w:pPr>
        <w:tabs>
          <w:tab w:val="num" w:pos="6708"/>
        </w:tabs>
        <w:ind w:left="6708" w:hanging="360"/>
      </w:pPr>
    </w:lvl>
    <w:lvl w:ilvl="4">
      <w:start w:val="1"/>
      <w:numFmt w:val="lowerLetter"/>
      <w:lvlText w:val="%5."/>
      <w:lvlJc w:val="left"/>
      <w:pPr>
        <w:tabs>
          <w:tab w:val="num" w:pos="7428"/>
        </w:tabs>
        <w:ind w:left="7428" w:hanging="360"/>
      </w:pPr>
    </w:lvl>
    <w:lvl w:ilvl="5">
      <w:start w:val="1"/>
      <w:numFmt w:val="lowerRoman"/>
      <w:lvlText w:val="%6."/>
      <w:lvlJc w:val="right"/>
      <w:pPr>
        <w:tabs>
          <w:tab w:val="num" w:pos="8148"/>
        </w:tabs>
        <w:ind w:left="8148" w:hanging="180"/>
      </w:pPr>
    </w:lvl>
    <w:lvl w:ilvl="6">
      <w:start w:val="1"/>
      <w:numFmt w:val="decimal"/>
      <w:lvlText w:val="%7."/>
      <w:lvlJc w:val="left"/>
      <w:pPr>
        <w:tabs>
          <w:tab w:val="num" w:pos="8868"/>
        </w:tabs>
        <w:ind w:left="8868" w:hanging="360"/>
      </w:pPr>
    </w:lvl>
    <w:lvl w:ilvl="7">
      <w:start w:val="1"/>
      <w:numFmt w:val="lowerLetter"/>
      <w:lvlText w:val="%8."/>
      <w:lvlJc w:val="left"/>
      <w:pPr>
        <w:tabs>
          <w:tab w:val="num" w:pos="9588"/>
        </w:tabs>
        <w:ind w:left="9588" w:hanging="360"/>
      </w:pPr>
    </w:lvl>
    <w:lvl w:ilvl="8">
      <w:start w:val="1"/>
      <w:numFmt w:val="lowerRoman"/>
      <w:lvlText w:val="%9."/>
      <w:lvlJc w:val="right"/>
      <w:pPr>
        <w:tabs>
          <w:tab w:val="num" w:pos="10308"/>
        </w:tabs>
        <w:ind w:left="10308" w:hanging="180"/>
      </w:pPr>
    </w:lvl>
  </w:abstractNum>
  <w:abstractNum w:abstractNumId="1" w15:restartNumberingAfterBreak="0">
    <w:nsid w:val="115E09BD"/>
    <w:multiLevelType w:val="hybridMultilevel"/>
    <w:tmpl w:val="78D877EA"/>
    <w:lvl w:ilvl="0" w:tplc="E4F87E8A">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1C8436B3"/>
    <w:multiLevelType w:val="hybridMultilevel"/>
    <w:tmpl w:val="D956591A"/>
    <w:lvl w:ilvl="0" w:tplc="CFB6F214">
      <w:start w:val="1"/>
      <w:numFmt w:val="decimal"/>
      <w:lvlText w:val="%1."/>
      <w:lvlJc w:val="left"/>
      <w:pPr>
        <w:ind w:left="360" w:hanging="360"/>
      </w:pPr>
      <w:rPr>
        <w:sz w:val="20"/>
        <w:szCs w:val="2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22392339"/>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CDF6AB4"/>
    <w:multiLevelType w:val="hybridMultilevel"/>
    <w:tmpl w:val="800CDB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4EB25668"/>
    <w:multiLevelType w:val="hybridMultilevel"/>
    <w:tmpl w:val="FBFE0106"/>
    <w:lvl w:ilvl="0" w:tplc="E9AC23A6">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4FCD2760"/>
    <w:multiLevelType w:val="hybridMultilevel"/>
    <w:tmpl w:val="B176728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56FF2B8D"/>
    <w:multiLevelType w:val="hybridMultilevel"/>
    <w:tmpl w:val="F1060AEC"/>
    <w:lvl w:ilvl="0" w:tplc="0408000F">
      <w:start w:val="1"/>
      <w:numFmt w:val="decimal"/>
      <w:lvlText w:val="%1."/>
      <w:lvlJc w:val="left"/>
      <w:pPr>
        <w:ind w:left="502" w:hanging="360"/>
      </w:p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8" w15:restartNumberingAfterBreak="0">
    <w:nsid w:val="6135742D"/>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9F82E12"/>
    <w:multiLevelType w:val="hybridMultilevel"/>
    <w:tmpl w:val="27E61596"/>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ED5D69"/>
    <w:multiLevelType w:val="hybridMultilevel"/>
    <w:tmpl w:val="85185644"/>
    <w:lvl w:ilvl="0" w:tplc="04090001">
      <w:start w:val="1"/>
      <w:numFmt w:val="bullet"/>
      <w:lvlText w:val=""/>
      <w:lvlJc w:val="left"/>
      <w:pPr>
        <w:ind w:left="434" w:hanging="360"/>
      </w:pPr>
      <w:rPr>
        <w:rFonts w:ascii="Symbol" w:hAnsi="Symbol" w:hint="default"/>
        <w:b/>
        <w:bCs/>
      </w:rPr>
    </w:lvl>
    <w:lvl w:ilvl="1" w:tplc="04090019" w:tentative="1">
      <w:start w:val="1"/>
      <w:numFmt w:val="lowerLetter"/>
      <w:lvlText w:val="%2."/>
      <w:lvlJc w:val="left"/>
      <w:pPr>
        <w:ind w:left="1154" w:hanging="360"/>
      </w:pPr>
    </w:lvl>
    <w:lvl w:ilvl="2" w:tplc="0409001B" w:tentative="1">
      <w:start w:val="1"/>
      <w:numFmt w:val="lowerRoman"/>
      <w:lvlText w:val="%3."/>
      <w:lvlJc w:val="right"/>
      <w:pPr>
        <w:ind w:left="1874" w:hanging="180"/>
      </w:pPr>
    </w:lvl>
    <w:lvl w:ilvl="3" w:tplc="0409000F" w:tentative="1">
      <w:start w:val="1"/>
      <w:numFmt w:val="decimal"/>
      <w:lvlText w:val="%4."/>
      <w:lvlJc w:val="left"/>
      <w:pPr>
        <w:ind w:left="2594" w:hanging="360"/>
      </w:pPr>
    </w:lvl>
    <w:lvl w:ilvl="4" w:tplc="04090019" w:tentative="1">
      <w:start w:val="1"/>
      <w:numFmt w:val="lowerLetter"/>
      <w:lvlText w:val="%5."/>
      <w:lvlJc w:val="left"/>
      <w:pPr>
        <w:ind w:left="3314" w:hanging="360"/>
      </w:pPr>
    </w:lvl>
    <w:lvl w:ilvl="5" w:tplc="0409001B" w:tentative="1">
      <w:start w:val="1"/>
      <w:numFmt w:val="lowerRoman"/>
      <w:lvlText w:val="%6."/>
      <w:lvlJc w:val="right"/>
      <w:pPr>
        <w:ind w:left="4034" w:hanging="180"/>
      </w:pPr>
    </w:lvl>
    <w:lvl w:ilvl="6" w:tplc="0409000F" w:tentative="1">
      <w:start w:val="1"/>
      <w:numFmt w:val="decimal"/>
      <w:lvlText w:val="%7."/>
      <w:lvlJc w:val="left"/>
      <w:pPr>
        <w:ind w:left="4754" w:hanging="360"/>
      </w:pPr>
    </w:lvl>
    <w:lvl w:ilvl="7" w:tplc="04090019" w:tentative="1">
      <w:start w:val="1"/>
      <w:numFmt w:val="lowerLetter"/>
      <w:lvlText w:val="%8."/>
      <w:lvlJc w:val="left"/>
      <w:pPr>
        <w:ind w:left="5474" w:hanging="360"/>
      </w:pPr>
    </w:lvl>
    <w:lvl w:ilvl="8" w:tplc="0409001B" w:tentative="1">
      <w:start w:val="1"/>
      <w:numFmt w:val="lowerRoman"/>
      <w:lvlText w:val="%9."/>
      <w:lvlJc w:val="right"/>
      <w:pPr>
        <w:ind w:left="6194" w:hanging="180"/>
      </w:pPr>
    </w:lvl>
  </w:abstractNum>
  <w:abstractNum w:abstractNumId="11" w15:restartNumberingAfterBreak="0">
    <w:nsid w:val="762F3688"/>
    <w:multiLevelType w:val="hybridMultilevel"/>
    <w:tmpl w:val="5FA4759E"/>
    <w:lvl w:ilvl="0" w:tplc="04080007">
      <w:start w:val="1"/>
      <w:numFmt w:val="bullet"/>
      <w:lvlText w:val=""/>
      <w:lvlPicBulletId w:val="0"/>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941B46"/>
    <w:multiLevelType w:val="hybridMultilevel"/>
    <w:tmpl w:val="EDDCC574"/>
    <w:lvl w:ilvl="0" w:tplc="04080005">
      <w:start w:val="1"/>
      <w:numFmt w:val="bullet"/>
      <w:lvlText w:val=""/>
      <w:lvlJc w:val="left"/>
      <w:pPr>
        <w:tabs>
          <w:tab w:val="num" w:pos="720"/>
        </w:tabs>
        <w:ind w:left="720" w:hanging="360"/>
      </w:pPr>
      <w:rPr>
        <w:rFonts w:ascii="Wingdings" w:hAnsi="Wingding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7F650A60"/>
    <w:multiLevelType w:val="hybridMultilevel"/>
    <w:tmpl w:val="7854A2BE"/>
    <w:lvl w:ilvl="0" w:tplc="04080007">
      <w:start w:val="1"/>
      <w:numFmt w:val="bullet"/>
      <w:lvlText w:val=""/>
      <w:lvlPicBulletId w:val="0"/>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3"/>
  </w:num>
  <w:num w:numId="2">
    <w:abstractNumId w:val="8"/>
  </w:num>
  <w:num w:numId="3">
    <w:abstractNumId w:val="5"/>
  </w:num>
  <w:num w:numId="4">
    <w:abstractNumId w:val="0"/>
  </w:num>
  <w:num w:numId="5">
    <w:abstractNumId w:val="1"/>
  </w:num>
  <w:num w:numId="6">
    <w:abstractNumId w:val="9"/>
  </w:num>
  <w:num w:numId="7">
    <w:abstractNumId w:val="11"/>
  </w:num>
  <w:num w:numId="8">
    <w:abstractNumId w:val="13"/>
  </w:num>
  <w:num w:numId="9">
    <w:abstractNumId w:val="12"/>
  </w:num>
  <w:num w:numId="10">
    <w:abstractNumId w:val="7"/>
  </w:num>
  <w:num w:numId="11">
    <w:abstractNumId w:val="2"/>
  </w:num>
  <w:num w:numId="12">
    <w:abstractNumId w:val="4"/>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2ED"/>
    <w:rsid w:val="00034520"/>
    <w:rsid w:val="00061E92"/>
    <w:rsid w:val="00076D7C"/>
    <w:rsid w:val="000958A8"/>
    <w:rsid w:val="000D7FD0"/>
    <w:rsid w:val="000E62ED"/>
    <w:rsid w:val="000F37EB"/>
    <w:rsid w:val="001017C3"/>
    <w:rsid w:val="001257AD"/>
    <w:rsid w:val="001530C5"/>
    <w:rsid w:val="001657EC"/>
    <w:rsid w:val="001C7717"/>
    <w:rsid w:val="002015DA"/>
    <w:rsid w:val="00217893"/>
    <w:rsid w:val="0023530A"/>
    <w:rsid w:val="00243DBF"/>
    <w:rsid w:val="002665A1"/>
    <w:rsid w:val="00267315"/>
    <w:rsid w:val="00293FC6"/>
    <w:rsid w:val="002C0055"/>
    <w:rsid w:val="002E4D95"/>
    <w:rsid w:val="0033357E"/>
    <w:rsid w:val="00334E91"/>
    <w:rsid w:val="003426AE"/>
    <w:rsid w:val="003935B1"/>
    <w:rsid w:val="003A4EA2"/>
    <w:rsid w:val="003B414F"/>
    <w:rsid w:val="003E5AB8"/>
    <w:rsid w:val="00404837"/>
    <w:rsid w:val="00443ECB"/>
    <w:rsid w:val="00460F53"/>
    <w:rsid w:val="0048309D"/>
    <w:rsid w:val="00484148"/>
    <w:rsid w:val="004B57C1"/>
    <w:rsid w:val="004F5233"/>
    <w:rsid w:val="0050021E"/>
    <w:rsid w:val="005124B6"/>
    <w:rsid w:val="005401A9"/>
    <w:rsid w:val="00547AE9"/>
    <w:rsid w:val="00570105"/>
    <w:rsid w:val="00581E4A"/>
    <w:rsid w:val="005E6F25"/>
    <w:rsid w:val="00664DDF"/>
    <w:rsid w:val="00681480"/>
    <w:rsid w:val="00682504"/>
    <w:rsid w:val="00687C11"/>
    <w:rsid w:val="00687C3D"/>
    <w:rsid w:val="00695347"/>
    <w:rsid w:val="006B3BE0"/>
    <w:rsid w:val="006E5455"/>
    <w:rsid w:val="006E5702"/>
    <w:rsid w:val="00713E59"/>
    <w:rsid w:val="00744580"/>
    <w:rsid w:val="00771E9D"/>
    <w:rsid w:val="00792E3B"/>
    <w:rsid w:val="007C37B1"/>
    <w:rsid w:val="007C5A72"/>
    <w:rsid w:val="007F77BB"/>
    <w:rsid w:val="007F79C2"/>
    <w:rsid w:val="00800732"/>
    <w:rsid w:val="0080520F"/>
    <w:rsid w:val="0081257F"/>
    <w:rsid w:val="0082404C"/>
    <w:rsid w:val="00840D92"/>
    <w:rsid w:val="00855E99"/>
    <w:rsid w:val="00863AC0"/>
    <w:rsid w:val="008751F2"/>
    <w:rsid w:val="00877250"/>
    <w:rsid w:val="008802EA"/>
    <w:rsid w:val="008E5BFD"/>
    <w:rsid w:val="008F01A3"/>
    <w:rsid w:val="009203F9"/>
    <w:rsid w:val="00982739"/>
    <w:rsid w:val="009C7B2C"/>
    <w:rsid w:val="009F5B6D"/>
    <w:rsid w:val="00A17EB9"/>
    <w:rsid w:val="00A238C0"/>
    <w:rsid w:val="00A53786"/>
    <w:rsid w:val="00A54E83"/>
    <w:rsid w:val="00AA2B42"/>
    <w:rsid w:val="00AB019C"/>
    <w:rsid w:val="00AB3F89"/>
    <w:rsid w:val="00AC261A"/>
    <w:rsid w:val="00AD7A8C"/>
    <w:rsid w:val="00AE031B"/>
    <w:rsid w:val="00AF767D"/>
    <w:rsid w:val="00B22DC3"/>
    <w:rsid w:val="00B22FAF"/>
    <w:rsid w:val="00B87C96"/>
    <w:rsid w:val="00B96E60"/>
    <w:rsid w:val="00BD3525"/>
    <w:rsid w:val="00C00DBA"/>
    <w:rsid w:val="00C63DF3"/>
    <w:rsid w:val="00CB22D4"/>
    <w:rsid w:val="00CD37EE"/>
    <w:rsid w:val="00D07C2B"/>
    <w:rsid w:val="00D137BF"/>
    <w:rsid w:val="00D228D2"/>
    <w:rsid w:val="00D31F6A"/>
    <w:rsid w:val="00D37E94"/>
    <w:rsid w:val="00D604FF"/>
    <w:rsid w:val="00D84593"/>
    <w:rsid w:val="00DA3F47"/>
    <w:rsid w:val="00DB12F3"/>
    <w:rsid w:val="00DD4001"/>
    <w:rsid w:val="00DE5610"/>
    <w:rsid w:val="00E27ED3"/>
    <w:rsid w:val="00E34C6D"/>
    <w:rsid w:val="00E41778"/>
    <w:rsid w:val="00E47355"/>
    <w:rsid w:val="00E811EA"/>
    <w:rsid w:val="00E9339E"/>
    <w:rsid w:val="00EF450B"/>
    <w:rsid w:val="00F00F8A"/>
    <w:rsid w:val="00F20C97"/>
    <w:rsid w:val="00F3212F"/>
    <w:rsid w:val="00F40E2D"/>
    <w:rsid w:val="00F569B8"/>
    <w:rsid w:val="00FA591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9BFB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E62ED"/>
    <w:rPr>
      <w:rFonts w:ascii="CG Times (W1)" w:hAnsi="CG Times (W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604FF"/>
    <w:pPr>
      <w:tabs>
        <w:tab w:val="center" w:pos="4536"/>
        <w:tab w:val="right" w:pos="9072"/>
      </w:tabs>
    </w:pPr>
  </w:style>
  <w:style w:type="paragraph" w:styleId="a4">
    <w:name w:val="footer"/>
    <w:basedOn w:val="a"/>
    <w:rsid w:val="00D604FF"/>
    <w:pPr>
      <w:tabs>
        <w:tab w:val="center" w:pos="4536"/>
        <w:tab w:val="right" w:pos="9072"/>
      </w:tabs>
    </w:pPr>
  </w:style>
  <w:style w:type="table" w:styleId="a5">
    <w:name w:val="Table Grid"/>
    <w:basedOn w:val="a1"/>
    <w:rsid w:val="00DD4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rsid w:val="003A4EA2"/>
    <w:rPr>
      <w:sz w:val="16"/>
      <w:szCs w:val="16"/>
    </w:rPr>
  </w:style>
  <w:style w:type="paragraph" w:styleId="a7">
    <w:name w:val="annotation text"/>
    <w:basedOn w:val="a"/>
    <w:link w:val="Char"/>
    <w:rsid w:val="003A4EA2"/>
  </w:style>
  <w:style w:type="character" w:customStyle="1" w:styleId="Char">
    <w:name w:val="Κείμενο σχολίου Char"/>
    <w:link w:val="a7"/>
    <w:rsid w:val="003A4EA2"/>
    <w:rPr>
      <w:rFonts w:ascii="CG Times (W1)" w:hAnsi="CG Times (W1)"/>
      <w:lang w:val="en-US" w:eastAsia="en-US"/>
    </w:rPr>
  </w:style>
  <w:style w:type="paragraph" w:styleId="a8">
    <w:name w:val="annotation subject"/>
    <w:basedOn w:val="a7"/>
    <w:next w:val="a7"/>
    <w:link w:val="Char0"/>
    <w:rsid w:val="003A4EA2"/>
    <w:rPr>
      <w:b/>
      <w:bCs/>
    </w:rPr>
  </w:style>
  <w:style w:type="character" w:customStyle="1" w:styleId="Char0">
    <w:name w:val="Θέμα σχολίου Char"/>
    <w:link w:val="a8"/>
    <w:rsid w:val="003A4EA2"/>
    <w:rPr>
      <w:rFonts w:ascii="CG Times (W1)" w:hAnsi="CG Times (W1)"/>
      <w:b/>
      <w:bCs/>
      <w:lang w:val="en-US" w:eastAsia="en-US"/>
    </w:rPr>
  </w:style>
  <w:style w:type="paragraph" w:styleId="a9">
    <w:name w:val="Balloon Text"/>
    <w:basedOn w:val="a"/>
    <w:link w:val="Char1"/>
    <w:rsid w:val="003A4EA2"/>
    <w:rPr>
      <w:rFonts w:ascii="Segoe UI" w:hAnsi="Segoe UI" w:cs="Segoe UI"/>
      <w:sz w:val="18"/>
      <w:szCs w:val="18"/>
    </w:rPr>
  </w:style>
  <w:style w:type="character" w:customStyle="1" w:styleId="Char1">
    <w:name w:val="Κείμενο πλαισίου Char"/>
    <w:link w:val="a9"/>
    <w:rsid w:val="003A4EA2"/>
    <w:rPr>
      <w:rFonts w:ascii="Segoe UI" w:hAnsi="Segoe UI" w:cs="Segoe UI"/>
      <w:sz w:val="18"/>
      <w:szCs w:val="18"/>
      <w:lang w:val="en-US" w:eastAsia="en-US"/>
    </w:rPr>
  </w:style>
  <w:style w:type="paragraph" w:styleId="aa">
    <w:name w:val="List Paragraph"/>
    <w:basedOn w:val="a"/>
    <w:uiPriority w:val="34"/>
    <w:qFormat/>
    <w:rsid w:val="00243DBF"/>
    <w:pPr>
      <w:spacing w:after="160" w:line="259" w:lineRule="auto"/>
      <w:ind w:left="720"/>
      <w:contextualSpacing/>
    </w:pPr>
    <w:rPr>
      <w:rFonts w:asciiTheme="minorHAnsi" w:eastAsiaTheme="minorHAnsi" w:hAnsiTheme="minorHAnsi" w:cstheme="minorBidi"/>
      <w:sz w:val="22"/>
      <w:szCs w:val="22"/>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363078">
      <w:bodyDiv w:val="1"/>
      <w:marLeft w:val="0"/>
      <w:marRight w:val="0"/>
      <w:marTop w:val="0"/>
      <w:marBottom w:val="0"/>
      <w:divBdr>
        <w:top w:val="none" w:sz="0" w:space="0" w:color="auto"/>
        <w:left w:val="none" w:sz="0" w:space="0" w:color="auto"/>
        <w:bottom w:val="none" w:sz="0" w:space="0" w:color="auto"/>
        <w:right w:val="none" w:sz="0" w:space="0" w:color="auto"/>
      </w:divBdr>
      <w:divsChild>
        <w:div w:id="220363534">
          <w:marLeft w:val="0"/>
          <w:marRight w:val="0"/>
          <w:marTop w:val="0"/>
          <w:marBottom w:val="0"/>
          <w:divBdr>
            <w:top w:val="none" w:sz="0" w:space="0" w:color="auto"/>
            <w:left w:val="none" w:sz="0" w:space="0" w:color="auto"/>
            <w:bottom w:val="none" w:sz="0" w:space="0" w:color="auto"/>
            <w:right w:val="none" w:sz="0" w:space="0" w:color="auto"/>
          </w:divBdr>
        </w:div>
        <w:div w:id="667444905">
          <w:marLeft w:val="0"/>
          <w:marRight w:val="0"/>
          <w:marTop w:val="0"/>
          <w:marBottom w:val="0"/>
          <w:divBdr>
            <w:top w:val="none" w:sz="0" w:space="0" w:color="auto"/>
            <w:left w:val="none" w:sz="0" w:space="0" w:color="auto"/>
            <w:bottom w:val="none" w:sz="0" w:space="0" w:color="auto"/>
            <w:right w:val="none" w:sz="0" w:space="0" w:color="auto"/>
          </w:divBdr>
        </w:div>
        <w:div w:id="1553543273">
          <w:marLeft w:val="0"/>
          <w:marRight w:val="0"/>
          <w:marTop w:val="0"/>
          <w:marBottom w:val="0"/>
          <w:divBdr>
            <w:top w:val="none" w:sz="0" w:space="0" w:color="auto"/>
            <w:left w:val="none" w:sz="0" w:space="0" w:color="auto"/>
            <w:bottom w:val="none" w:sz="0" w:space="0" w:color="auto"/>
            <w:right w:val="none" w:sz="0" w:space="0" w:color="auto"/>
          </w:divBdr>
        </w:div>
        <w:div w:id="1601991418">
          <w:marLeft w:val="0"/>
          <w:marRight w:val="0"/>
          <w:marTop w:val="0"/>
          <w:marBottom w:val="0"/>
          <w:divBdr>
            <w:top w:val="none" w:sz="0" w:space="0" w:color="auto"/>
            <w:left w:val="none" w:sz="0" w:space="0" w:color="auto"/>
            <w:bottom w:val="none" w:sz="0" w:space="0" w:color="auto"/>
            <w:right w:val="none" w:sz="0" w:space="0" w:color="auto"/>
          </w:divBdr>
          <w:divsChild>
            <w:div w:id="1533030426">
              <w:marLeft w:val="0"/>
              <w:marRight w:val="0"/>
              <w:marTop w:val="30"/>
              <w:marBottom w:val="30"/>
              <w:divBdr>
                <w:top w:val="none" w:sz="0" w:space="0" w:color="auto"/>
                <w:left w:val="none" w:sz="0" w:space="0" w:color="auto"/>
                <w:bottom w:val="none" w:sz="0" w:space="0" w:color="auto"/>
                <w:right w:val="none" w:sz="0" w:space="0" w:color="auto"/>
              </w:divBdr>
              <w:divsChild>
                <w:div w:id="164824924">
                  <w:marLeft w:val="0"/>
                  <w:marRight w:val="0"/>
                  <w:marTop w:val="0"/>
                  <w:marBottom w:val="0"/>
                  <w:divBdr>
                    <w:top w:val="none" w:sz="0" w:space="0" w:color="auto"/>
                    <w:left w:val="none" w:sz="0" w:space="0" w:color="auto"/>
                    <w:bottom w:val="none" w:sz="0" w:space="0" w:color="auto"/>
                    <w:right w:val="none" w:sz="0" w:space="0" w:color="auto"/>
                  </w:divBdr>
                  <w:divsChild>
                    <w:div w:id="1775902449">
                      <w:marLeft w:val="0"/>
                      <w:marRight w:val="0"/>
                      <w:marTop w:val="0"/>
                      <w:marBottom w:val="0"/>
                      <w:divBdr>
                        <w:top w:val="none" w:sz="0" w:space="0" w:color="auto"/>
                        <w:left w:val="none" w:sz="0" w:space="0" w:color="auto"/>
                        <w:bottom w:val="none" w:sz="0" w:space="0" w:color="auto"/>
                        <w:right w:val="none" w:sz="0" w:space="0" w:color="auto"/>
                      </w:divBdr>
                    </w:div>
                  </w:divsChild>
                </w:div>
                <w:div w:id="590771487">
                  <w:marLeft w:val="0"/>
                  <w:marRight w:val="0"/>
                  <w:marTop w:val="0"/>
                  <w:marBottom w:val="0"/>
                  <w:divBdr>
                    <w:top w:val="none" w:sz="0" w:space="0" w:color="auto"/>
                    <w:left w:val="none" w:sz="0" w:space="0" w:color="auto"/>
                    <w:bottom w:val="none" w:sz="0" w:space="0" w:color="auto"/>
                    <w:right w:val="none" w:sz="0" w:space="0" w:color="auto"/>
                  </w:divBdr>
                  <w:divsChild>
                    <w:div w:id="1314522647">
                      <w:marLeft w:val="0"/>
                      <w:marRight w:val="0"/>
                      <w:marTop w:val="0"/>
                      <w:marBottom w:val="0"/>
                      <w:divBdr>
                        <w:top w:val="none" w:sz="0" w:space="0" w:color="auto"/>
                        <w:left w:val="none" w:sz="0" w:space="0" w:color="auto"/>
                        <w:bottom w:val="none" w:sz="0" w:space="0" w:color="auto"/>
                        <w:right w:val="none" w:sz="0" w:space="0" w:color="auto"/>
                      </w:divBdr>
                    </w:div>
                  </w:divsChild>
                </w:div>
                <w:div w:id="772474441">
                  <w:marLeft w:val="0"/>
                  <w:marRight w:val="0"/>
                  <w:marTop w:val="0"/>
                  <w:marBottom w:val="0"/>
                  <w:divBdr>
                    <w:top w:val="none" w:sz="0" w:space="0" w:color="auto"/>
                    <w:left w:val="none" w:sz="0" w:space="0" w:color="auto"/>
                    <w:bottom w:val="none" w:sz="0" w:space="0" w:color="auto"/>
                    <w:right w:val="none" w:sz="0" w:space="0" w:color="auto"/>
                  </w:divBdr>
                  <w:divsChild>
                    <w:div w:id="1413502680">
                      <w:marLeft w:val="0"/>
                      <w:marRight w:val="0"/>
                      <w:marTop w:val="0"/>
                      <w:marBottom w:val="0"/>
                      <w:divBdr>
                        <w:top w:val="none" w:sz="0" w:space="0" w:color="auto"/>
                        <w:left w:val="none" w:sz="0" w:space="0" w:color="auto"/>
                        <w:bottom w:val="none" w:sz="0" w:space="0" w:color="auto"/>
                        <w:right w:val="none" w:sz="0" w:space="0" w:color="auto"/>
                      </w:divBdr>
                    </w:div>
                  </w:divsChild>
                </w:div>
                <w:div w:id="1202087165">
                  <w:marLeft w:val="0"/>
                  <w:marRight w:val="0"/>
                  <w:marTop w:val="0"/>
                  <w:marBottom w:val="0"/>
                  <w:divBdr>
                    <w:top w:val="none" w:sz="0" w:space="0" w:color="auto"/>
                    <w:left w:val="none" w:sz="0" w:space="0" w:color="auto"/>
                    <w:bottom w:val="none" w:sz="0" w:space="0" w:color="auto"/>
                    <w:right w:val="none" w:sz="0" w:space="0" w:color="auto"/>
                  </w:divBdr>
                  <w:divsChild>
                    <w:div w:id="1681346057">
                      <w:marLeft w:val="0"/>
                      <w:marRight w:val="0"/>
                      <w:marTop w:val="0"/>
                      <w:marBottom w:val="0"/>
                      <w:divBdr>
                        <w:top w:val="none" w:sz="0" w:space="0" w:color="auto"/>
                        <w:left w:val="none" w:sz="0" w:space="0" w:color="auto"/>
                        <w:bottom w:val="none" w:sz="0" w:space="0" w:color="auto"/>
                        <w:right w:val="none" w:sz="0" w:space="0" w:color="auto"/>
                      </w:divBdr>
                    </w:div>
                  </w:divsChild>
                </w:div>
                <w:div w:id="1318682345">
                  <w:marLeft w:val="0"/>
                  <w:marRight w:val="0"/>
                  <w:marTop w:val="0"/>
                  <w:marBottom w:val="0"/>
                  <w:divBdr>
                    <w:top w:val="none" w:sz="0" w:space="0" w:color="auto"/>
                    <w:left w:val="none" w:sz="0" w:space="0" w:color="auto"/>
                    <w:bottom w:val="none" w:sz="0" w:space="0" w:color="auto"/>
                    <w:right w:val="none" w:sz="0" w:space="0" w:color="auto"/>
                  </w:divBdr>
                  <w:divsChild>
                    <w:div w:id="1441678810">
                      <w:marLeft w:val="0"/>
                      <w:marRight w:val="0"/>
                      <w:marTop w:val="0"/>
                      <w:marBottom w:val="0"/>
                      <w:divBdr>
                        <w:top w:val="none" w:sz="0" w:space="0" w:color="auto"/>
                        <w:left w:val="none" w:sz="0" w:space="0" w:color="auto"/>
                        <w:bottom w:val="none" w:sz="0" w:space="0" w:color="auto"/>
                        <w:right w:val="none" w:sz="0" w:space="0" w:color="auto"/>
                      </w:divBdr>
                    </w:div>
                  </w:divsChild>
                </w:div>
                <w:div w:id="2038192039">
                  <w:marLeft w:val="0"/>
                  <w:marRight w:val="0"/>
                  <w:marTop w:val="0"/>
                  <w:marBottom w:val="0"/>
                  <w:divBdr>
                    <w:top w:val="none" w:sz="0" w:space="0" w:color="auto"/>
                    <w:left w:val="none" w:sz="0" w:space="0" w:color="auto"/>
                    <w:bottom w:val="none" w:sz="0" w:space="0" w:color="auto"/>
                    <w:right w:val="none" w:sz="0" w:space="0" w:color="auto"/>
                  </w:divBdr>
                  <w:divsChild>
                    <w:div w:id="181706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714298">
          <w:marLeft w:val="0"/>
          <w:marRight w:val="0"/>
          <w:marTop w:val="0"/>
          <w:marBottom w:val="0"/>
          <w:divBdr>
            <w:top w:val="none" w:sz="0" w:space="0" w:color="auto"/>
            <w:left w:val="none" w:sz="0" w:space="0" w:color="auto"/>
            <w:bottom w:val="none" w:sz="0" w:space="0" w:color="auto"/>
            <w:right w:val="none" w:sz="0" w:space="0" w:color="auto"/>
          </w:divBdr>
        </w:div>
      </w:divsChild>
    </w:div>
    <w:div w:id="473136348">
      <w:bodyDiv w:val="1"/>
      <w:marLeft w:val="0"/>
      <w:marRight w:val="0"/>
      <w:marTop w:val="0"/>
      <w:marBottom w:val="0"/>
      <w:divBdr>
        <w:top w:val="none" w:sz="0" w:space="0" w:color="auto"/>
        <w:left w:val="none" w:sz="0" w:space="0" w:color="auto"/>
        <w:bottom w:val="none" w:sz="0" w:space="0" w:color="auto"/>
        <w:right w:val="none" w:sz="0" w:space="0" w:color="auto"/>
      </w:divBdr>
      <w:divsChild>
        <w:div w:id="1893223380">
          <w:marLeft w:val="0"/>
          <w:marRight w:val="0"/>
          <w:marTop w:val="0"/>
          <w:marBottom w:val="0"/>
          <w:divBdr>
            <w:top w:val="none" w:sz="0" w:space="0" w:color="auto"/>
            <w:left w:val="none" w:sz="0" w:space="0" w:color="auto"/>
            <w:bottom w:val="none" w:sz="0" w:space="0" w:color="auto"/>
            <w:right w:val="none" w:sz="0" w:space="0" w:color="auto"/>
          </w:divBdr>
        </w:div>
      </w:divsChild>
    </w:div>
    <w:div w:id="817961153">
      <w:bodyDiv w:val="1"/>
      <w:marLeft w:val="0"/>
      <w:marRight w:val="0"/>
      <w:marTop w:val="0"/>
      <w:marBottom w:val="0"/>
      <w:divBdr>
        <w:top w:val="none" w:sz="0" w:space="0" w:color="auto"/>
        <w:left w:val="none" w:sz="0" w:space="0" w:color="auto"/>
        <w:bottom w:val="none" w:sz="0" w:space="0" w:color="auto"/>
        <w:right w:val="none" w:sz="0" w:space="0" w:color="auto"/>
      </w:divBdr>
      <w:divsChild>
        <w:div w:id="1718360090">
          <w:marLeft w:val="0"/>
          <w:marRight w:val="0"/>
          <w:marTop w:val="0"/>
          <w:marBottom w:val="0"/>
          <w:divBdr>
            <w:top w:val="none" w:sz="0" w:space="0" w:color="auto"/>
            <w:left w:val="none" w:sz="0" w:space="0" w:color="auto"/>
            <w:bottom w:val="none" w:sz="0" w:space="0" w:color="auto"/>
            <w:right w:val="none" w:sz="0" w:space="0" w:color="auto"/>
          </w:divBdr>
        </w:div>
      </w:divsChild>
    </w:div>
    <w:div w:id="1103574487">
      <w:bodyDiv w:val="1"/>
      <w:marLeft w:val="0"/>
      <w:marRight w:val="0"/>
      <w:marTop w:val="0"/>
      <w:marBottom w:val="0"/>
      <w:divBdr>
        <w:top w:val="none" w:sz="0" w:space="0" w:color="auto"/>
        <w:left w:val="none" w:sz="0" w:space="0" w:color="auto"/>
        <w:bottom w:val="none" w:sz="0" w:space="0" w:color="auto"/>
        <w:right w:val="none" w:sz="0" w:space="0" w:color="auto"/>
      </w:divBdr>
      <w:divsChild>
        <w:div w:id="1848783223">
          <w:marLeft w:val="0"/>
          <w:marRight w:val="0"/>
          <w:marTop w:val="0"/>
          <w:marBottom w:val="0"/>
          <w:divBdr>
            <w:top w:val="none" w:sz="0" w:space="0" w:color="auto"/>
            <w:left w:val="none" w:sz="0" w:space="0" w:color="auto"/>
            <w:bottom w:val="none" w:sz="0" w:space="0" w:color="auto"/>
            <w:right w:val="none" w:sz="0" w:space="0" w:color="auto"/>
          </w:divBdr>
        </w:div>
      </w:divsChild>
    </w:div>
    <w:div w:id="1777172302">
      <w:bodyDiv w:val="1"/>
      <w:marLeft w:val="0"/>
      <w:marRight w:val="0"/>
      <w:marTop w:val="0"/>
      <w:marBottom w:val="0"/>
      <w:divBdr>
        <w:top w:val="none" w:sz="0" w:space="0" w:color="auto"/>
        <w:left w:val="none" w:sz="0" w:space="0" w:color="auto"/>
        <w:bottom w:val="none" w:sz="0" w:space="0" w:color="auto"/>
        <w:right w:val="none" w:sz="0" w:space="0" w:color="auto"/>
      </w:divBdr>
      <w:divsChild>
        <w:div w:id="642271223">
          <w:marLeft w:val="0"/>
          <w:marRight w:val="0"/>
          <w:marTop w:val="0"/>
          <w:marBottom w:val="0"/>
          <w:divBdr>
            <w:top w:val="none" w:sz="0" w:space="0" w:color="auto"/>
            <w:left w:val="none" w:sz="0" w:space="0" w:color="auto"/>
            <w:bottom w:val="none" w:sz="0" w:space="0" w:color="auto"/>
            <w:right w:val="none" w:sz="0" w:space="0" w:color="auto"/>
          </w:divBdr>
        </w:div>
      </w:divsChild>
    </w:div>
    <w:div w:id="1960527578">
      <w:bodyDiv w:val="1"/>
      <w:marLeft w:val="0"/>
      <w:marRight w:val="0"/>
      <w:marTop w:val="0"/>
      <w:marBottom w:val="0"/>
      <w:divBdr>
        <w:top w:val="none" w:sz="0" w:space="0" w:color="auto"/>
        <w:left w:val="none" w:sz="0" w:space="0" w:color="auto"/>
        <w:bottom w:val="none" w:sz="0" w:space="0" w:color="auto"/>
        <w:right w:val="none" w:sz="0" w:space="0" w:color="auto"/>
      </w:divBdr>
      <w:divsChild>
        <w:div w:id="1366179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DC636C4013D6468F13CCD962992B6A" ma:contentTypeVersion="4" ma:contentTypeDescription="Create a new document." ma:contentTypeScope="" ma:versionID="a5d3a97e98aba264394a133e6e48f6fd">
  <xsd:schema xmlns:xsd="http://www.w3.org/2001/XMLSchema" xmlns:xs="http://www.w3.org/2001/XMLSchema" xmlns:p="http://schemas.microsoft.com/office/2006/metadata/properties" xmlns:ns2="92200e96-7605-4e8e-8ad9-ee545847c7e3" targetNamespace="http://schemas.microsoft.com/office/2006/metadata/properties" ma:root="true" ma:fieldsID="7d65d3c2045ea369be4309f4cfec8e84" ns2:_="">
    <xsd:import namespace="92200e96-7605-4e8e-8ad9-ee545847c7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200e96-7605-4e8e-8ad9-ee545847c7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289AD5-C390-42F2-9F3D-EA3693DA3FA9}">
  <ds:schemaRefs>
    <ds:schemaRef ds:uri="http://schemas.microsoft.com/sharepoint/v3/contenttype/forms"/>
  </ds:schemaRefs>
</ds:datastoreItem>
</file>

<file path=customXml/itemProps2.xml><?xml version="1.0" encoding="utf-8"?>
<ds:datastoreItem xmlns:ds="http://schemas.openxmlformats.org/officeDocument/2006/customXml" ds:itemID="{426238D6-4078-4C26-ABEB-B8751922B6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DCA765-BD17-4104-84BD-4518C198C3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200e96-7605-4e8e-8ad9-ee545847c7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3798</Characters>
  <Application>Microsoft Office Word</Application>
  <DocSecurity>0</DocSecurity>
  <Lines>31</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2021-09-27T20:20:00Z</dcterms:created>
  <dcterms:modified xsi:type="dcterms:W3CDTF">2021-09-28T01:25:00Z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0x0101001ADC636C4013D6468F13CCD962992B6A</vt:lpwstr>
  </property>
</Properties>
</file>